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E3882E" w14:textId="77777777" w:rsidR="00F91668" w:rsidRDefault="00F91668" w:rsidP="00F91668">
      <w:pPr>
        <w:jc w:val="center"/>
      </w:pPr>
      <w:r>
        <w:rPr>
          <w:b/>
          <w:sz w:val="32"/>
        </w:rPr>
        <w:t>Response to Reviewers</w:t>
      </w:r>
    </w:p>
    <w:p w14:paraId="79EC4C63" w14:textId="3A5ED8C4" w:rsidR="00F91668" w:rsidRDefault="00F91668" w:rsidP="00F91668">
      <w:pPr>
        <w:jc w:val="center"/>
      </w:pPr>
      <w:r>
        <w:rPr>
          <w:i/>
        </w:rPr>
        <w:t>Manuscript: E</w:t>
      </w:r>
      <w:r>
        <w:rPr>
          <w:i/>
        </w:rPr>
        <w:t>valuation of Dropwise and Roller Mixing Approaches for the Scale-Up of Chitosan Nanoparticle Production</w:t>
      </w:r>
    </w:p>
    <w:p w14:paraId="2704D170" w14:textId="63AE9FE2" w:rsidR="00F91668" w:rsidRDefault="00F91668" w:rsidP="00F91668">
      <w:r>
        <w:t>We sincerely thank the reviewers for their careful evaluation of the manuscript and for their constructive comments and suggestions. The comments have been considered carefully and addressed in the revised manuscript. The detailed responses and corresponding revisions are presented below.</w:t>
      </w:r>
    </w:p>
    <w:p w14:paraId="462DEA4C" w14:textId="77777777" w:rsidR="00F91668" w:rsidRPr="00F91668" w:rsidRDefault="00F91668" w:rsidP="00F91668">
      <w:pPr>
        <w:pStyle w:val="Heading1"/>
        <w:rPr>
          <w:rFonts w:ascii="Arial" w:hAnsi="Arial" w:cs="Arial"/>
          <w:sz w:val="20"/>
          <w:szCs w:val="20"/>
        </w:rPr>
      </w:pPr>
      <w:r w:rsidRPr="00F91668">
        <w:rPr>
          <w:rFonts w:ascii="Arial" w:hAnsi="Arial" w:cs="Arial"/>
          <w:sz w:val="20"/>
          <w:szCs w:val="20"/>
        </w:rPr>
        <w:t>Reviewer #1</w:t>
      </w:r>
    </w:p>
    <w:p w14:paraId="6A824A03" w14:textId="73C5C63D" w:rsidR="00F91668" w:rsidRPr="00F91668" w:rsidRDefault="00F91668" w:rsidP="00F91668">
      <w:pPr>
        <w:pStyle w:val="Heading2"/>
        <w:rPr>
          <w:rFonts w:ascii="Arial" w:hAnsi="Arial" w:cs="Arial"/>
          <w:sz w:val="20"/>
          <w:szCs w:val="20"/>
        </w:rPr>
      </w:pPr>
      <w:r w:rsidRPr="00F91668">
        <w:rPr>
          <w:rFonts w:ascii="Arial" w:hAnsi="Arial" w:cs="Arial"/>
          <w:sz w:val="20"/>
          <w:szCs w:val="20"/>
        </w:rPr>
        <w:t xml:space="preserve">Comment 1 </w:t>
      </w:r>
    </w:p>
    <w:tbl>
      <w:tblPr>
        <w:tblW w:w="0" w:type="auto"/>
        <w:jc w:val="center"/>
        <w:tblLook w:val="04A0" w:firstRow="1" w:lastRow="0" w:firstColumn="1" w:lastColumn="0" w:noHBand="0" w:noVBand="1"/>
      </w:tblPr>
      <w:tblGrid>
        <w:gridCol w:w="10224"/>
      </w:tblGrid>
      <w:tr w:rsidR="00F91668" w:rsidRPr="00F91668" w14:paraId="718597BF" w14:textId="77777777" w:rsidTr="00064D28">
        <w:trPr>
          <w:jc w:val="center"/>
        </w:trPr>
        <w:tc>
          <w:tcPr>
            <w:tcW w:w="10224" w:type="dxa"/>
            <w:shd w:val="clear" w:color="auto" w:fill="E7E6E6"/>
            <w:tcMar>
              <w:top w:w="80" w:type="dxa"/>
              <w:left w:w="100" w:type="dxa"/>
              <w:bottom w:w="80" w:type="dxa"/>
              <w:right w:w="100" w:type="dxa"/>
            </w:tcMar>
          </w:tcPr>
          <w:p w14:paraId="235E3E37" w14:textId="77777777" w:rsidR="00F91668" w:rsidRPr="00F91668" w:rsidRDefault="00F91668" w:rsidP="00064D28">
            <w:pPr>
              <w:rPr>
                <w:rFonts w:cs="Arial"/>
                <w:szCs w:val="20"/>
              </w:rPr>
            </w:pPr>
            <w:r w:rsidRPr="00F91668">
              <w:rPr>
                <w:rFonts w:cs="Arial"/>
                <w:b/>
                <w:szCs w:val="20"/>
              </w:rPr>
              <w:t xml:space="preserve">Reviewer comment: </w:t>
            </w:r>
            <w:r w:rsidRPr="00F91668">
              <w:rPr>
                <w:rFonts w:cs="Arial"/>
                <w:szCs w:val="20"/>
              </w:rPr>
              <w:t>While the manuscript addresses a practically relevant question (transferring a laboratory-scale chitosan nanoparticle (CNP) ionic gelation protocol to larger batch volumes) the novelty of the work is not clearly established. Comparing dropwise addition against roller mixing is a straightforward parameter variation rather than a methodological or mechanistic advance, and the manuscript does not sufficiently differentiate its contribution from prior scale-up studies already cited (e.g., static mixer approaches, ref. 6). The authors should more explicitly articulate what is new here, whether it is the specific mixing strategy, the process-parameter insight, or the application context, and position it more sharply against existing scale-up literature.</w:t>
            </w:r>
          </w:p>
        </w:tc>
      </w:tr>
      <w:tr w:rsidR="00F91668" w:rsidRPr="00F91668" w14:paraId="12A7FFB1" w14:textId="77777777" w:rsidTr="00064D28">
        <w:trPr>
          <w:jc w:val="center"/>
        </w:trPr>
        <w:tc>
          <w:tcPr>
            <w:tcW w:w="10224" w:type="dxa"/>
            <w:shd w:val="clear" w:color="auto" w:fill="FFFFFF"/>
            <w:tcMar>
              <w:top w:w="80" w:type="dxa"/>
              <w:left w:w="100" w:type="dxa"/>
              <w:bottom w:w="80" w:type="dxa"/>
              <w:right w:w="100" w:type="dxa"/>
            </w:tcMar>
          </w:tcPr>
          <w:p w14:paraId="2D1B7D70" w14:textId="2BED0A4F" w:rsidR="00F91668" w:rsidRPr="00F91668" w:rsidRDefault="00F91668" w:rsidP="00064D28">
            <w:pPr>
              <w:rPr>
                <w:rFonts w:cs="Arial"/>
                <w:szCs w:val="20"/>
              </w:rPr>
            </w:pPr>
            <w:r w:rsidRPr="00F91668">
              <w:rPr>
                <w:rFonts w:cs="Arial"/>
                <w:b/>
                <w:szCs w:val="20"/>
              </w:rPr>
              <w:t xml:space="preserve">Response: </w:t>
            </w:r>
            <w:r w:rsidRPr="00F91668">
              <w:rPr>
                <w:rFonts w:cs="Arial"/>
                <w:szCs w:val="20"/>
              </w:rPr>
              <w:t>The present study was not intended to propose a novel scale-up technology or provide a mechanistic advance in CNP synthesis. Rather, it represents an initial, application-driven laboratory-scale feasibility study undertaken to determine whether an established small-volume CNP formulation could be prepared at a substantially increased volume while maintaining the original formulation parameters and retaining nanoscale particle characteristics.</w:t>
            </w:r>
            <w:r w:rsidR="000369EB">
              <w:rPr>
                <w:rFonts w:cs="Arial"/>
                <w:szCs w:val="20"/>
              </w:rPr>
              <w:t xml:space="preserve"> </w:t>
            </w:r>
            <w:r w:rsidRPr="00F91668">
              <w:rPr>
                <w:rFonts w:cs="Arial"/>
                <w:szCs w:val="20"/>
              </w:rPr>
              <w:t xml:space="preserve">The practical motivation arose from the need to prepare larger quantities of CNP for subsequent field evaluation. </w:t>
            </w:r>
            <w:r w:rsidR="000369EB" w:rsidRPr="00F91668">
              <w:rPr>
                <w:rFonts w:cs="Arial"/>
                <w:szCs w:val="20"/>
              </w:rPr>
              <w:t>Two simple preparation approaches were compared: conventional dropwise addition and direct combination followed by roller mixing. The latter was explored as a less manually intensive preparation approach rather than as a newly developed mixing technology.</w:t>
            </w:r>
            <w:r w:rsidR="000369EB">
              <w:rPr>
                <w:rFonts w:cs="Arial"/>
                <w:szCs w:val="20"/>
              </w:rPr>
              <w:t xml:space="preserve"> </w:t>
            </w:r>
            <w:r w:rsidR="000369EB" w:rsidRPr="00F91668">
              <w:rPr>
                <w:rFonts w:cs="Arial"/>
                <w:szCs w:val="20"/>
              </w:rPr>
              <w:t xml:space="preserve">The Introduction and Discussion have been revised to make this application context </w:t>
            </w:r>
            <w:r w:rsidR="000369EB">
              <w:rPr>
                <w:rFonts w:cs="Arial"/>
                <w:szCs w:val="20"/>
              </w:rPr>
              <w:t xml:space="preserve">clearer. </w:t>
            </w:r>
          </w:p>
        </w:tc>
      </w:tr>
    </w:tbl>
    <w:p w14:paraId="47A26D33" w14:textId="77777777" w:rsidR="00F91668" w:rsidRPr="00F91668" w:rsidRDefault="00F91668" w:rsidP="00F91668">
      <w:pPr>
        <w:rPr>
          <w:rFonts w:cs="Arial"/>
          <w:szCs w:val="20"/>
        </w:rPr>
      </w:pPr>
    </w:p>
    <w:p w14:paraId="3D441C9D" w14:textId="73E35877" w:rsidR="00F91668" w:rsidRPr="00F91668" w:rsidRDefault="00F91668" w:rsidP="00F91668">
      <w:pPr>
        <w:pStyle w:val="Heading2"/>
        <w:rPr>
          <w:rFonts w:ascii="Arial" w:hAnsi="Arial" w:cs="Arial"/>
          <w:sz w:val="20"/>
          <w:szCs w:val="20"/>
        </w:rPr>
      </w:pPr>
      <w:r w:rsidRPr="00F91668">
        <w:rPr>
          <w:rFonts w:ascii="Arial" w:hAnsi="Arial" w:cs="Arial"/>
          <w:sz w:val="20"/>
          <w:szCs w:val="20"/>
        </w:rPr>
        <w:t xml:space="preserve">Comment 2 </w:t>
      </w:r>
    </w:p>
    <w:tbl>
      <w:tblPr>
        <w:tblW w:w="0" w:type="auto"/>
        <w:jc w:val="center"/>
        <w:tblLook w:val="04A0" w:firstRow="1" w:lastRow="0" w:firstColumn="1" w:lastColumn="0" w:noHBand="0" w:noVBand="1"/>
      </w:tblPr>
      <w:tblGrid>
        <w:gridCol w:w="10224"/>
      </w:tblGrid>
      <w:tr w:rsidR="00F91668" w:rsidRPr="00F91668" w14:paraId="21EE4007" w14:textId="77777777" w:rsidTr="00064D28">
        <w:trPr>
          <w:jc w:val="center"/>
        </w:trPr>
        <w:tc>
          <w:tcPr>
            <w:tcW w:w="10224" w:type="dxa"/>
            <w:shd w:val="clear" w:color="auto" w:fill="E7E6E6"/>
            <w:tcMar>
              <w:top w:w="80" w:type="dxa"/>
              <w:left w:w="100" w:type="dxa"/>
              <w:bottom w:w="80" w:type="dxa"/>
              <w:right w:w="100" w:type="dxa"/>
            </w:tcMar>
          </w:tcPr>
          <w:p w14:paraId="790A79C4" w14:textId="77777777" w:rsidR="00F91668" w:rsidRPr="00F91668" w:rsidRDefault="00F91668" w:rsidP="00064D28">
            <w:pPr>
              <w:rPr>
                <w:rFonts w:cs="Arial"/>
                <w:szCs w:val="20"/>
              </w:rPr>
            </w:pPr>
            <w:r w:rsidRPr="00F91668">
              <w:rPr>
                <w:rFonts w:cs="Arial"/>
                <w:b/>
                <w:szCs w:val="20"/>
              </w:rPr>
              <w:t xml:space="preserve">Reviewer comment: </w:t>
            </w:r>
            <w:r w:rsidRPr="00F91668">
              <w:rPr>
                <w:rFonts w:cs="Arial"/>
                <w:szCs w:val="20"/>
              </w:rPr>
              <w:t>The scale of "scale-up" claimed is also questionable. The study increases batch volume from 0.85 mL to 48.45 mL, which, while a 57-fold increase in relative terms, remains at a bench/laboratory scale in absolute terms. For an industrial or even pilot-scale application, batch volumes on the order of liters or tens of liters would typically be the relevant benchmark. The manuscript should temper its scale-up claims accordingly, or explicitly frame this as an early feasibility step toward industrial translation rather than implying broader manufacturing relevance. A brief discussion of what would be required to bridge this gap (e.g., continuous-flow or static-mixer systems referenced in the introduction) would strengthen the paper's positioning.</w:t>
            </w:r>
          </w:p>
        </w:tc>
      </w:tr>
      <w:tr w:rsidR="00F91668" w:rsidRPr="00F91668" w14:paraId="450FF824" w14:textId="77777777" w:rsidTr="00064D28">
        <w:trPr>
          <w:jc w:val="center"/>
        </w:trPr>
        <w:tc>
          <w:tcPr>
            <w:tcW w:w="10224" w:type="dxa"/>
            <w:shd w:val="clear" w:color="auto" w:fill="FFFFFF"/>
            <w:tcMar>
              <w:top w:w="80" w:type="dxa"/>
              <w:left w:w="100" w:type="dxa"/>
              <w:bottom w:w="80" w:type="dxa"/>
              <w:right w:w="100" w:type="dxa"/>
            </w:tcMar>
          </w:tcPr>
          <w:p w14:paraId="65A81C1E" w14:textId="100D3B10" w:rsidR="00584A2C" w:rsidRDefault="00F91668" w:rsidP="00584A2C">
            <w:r w:rsidRPr="00F91668">
              <w:rPr>
                <w:rFonts w:cs="Arial"/>
                <w:b/>
                <w:szCs w:val="20"/>
              </w:rPr>
              <w:t xml:space="preserve">Response: </w:t>
            </w:r>
            <w:r w:rsidR="00584A2C" w:rsidRPr="00F91668">
              <w:rPr>
                <w:rFonts w:cs="Arial"/>
                <w:szCs w:val="20"/>
              </w:rPr>
              <w:t>We agree that the increase from 0.85 to 48.45 mL, although representing an approximately 57-fold increase in preparation volume, remains at the laboratory scale and should not be interpreted as pilot- or industrial-scale production.</w:t>
            </w:r>
            <w:r w:rsidR="00584A2C">
              <w:rPr>
                <w:rFonts w:cs="Arial"/>
                <w:szCs w:val="20"/>
              </w:rPr>
              <w:t xml:space="preserve"> </w:t>
            </w:r>
            <w:r w:rsidR="00584A2C" w:rsidRPr="00F91668">
              <w:rPr>
                <w:rFonts w:cs="Arial"/>
                <w:szCs w:val="20"/>
              </w:rPr>
              <w:t>The practical objective was to determine whether the established 0.85 mL CNP formulation could be prepared at a substantially increased laboratory volume while maintaining the original chitosan and TPP concentrations, chitosan-to-TPP ratio, and nanoscale particle characteristics. This increase was undertaken to facilitate preparation of larger quantities of CNP required for subsequent field evaluation rather than to demonstrate industrial-scale production.</w:t>
            </w:r>
            <w:r w:rsidR="00584A2C">
              <w:rPr>
                <w:rFonts w:cs="Arial"/>
                <w:szCs w:val="20"/>
              </w:rPr>
              <w:t xml:space="preserve"> </w:t>
            </w:r>
            <w:r w:rsidR="00584A2C" w:rsidRPr="00F91668">
              <w:rPr>
                <w:rFonts w:cs="Arial"/>
                <w:szCs w:val="20"/>
              </w:rPr>
              <w:t>The manuscript has therefore been revised throughout to describe the work more precisely as a preliminary laboratory-scale scale-up and an initial feasibility step toward the preparation of larger CNP volumes</w:t>
            </w:r>
            <w:r w:rsidR="00584A2C">
              <w:rPr>
                <w:rFonts w:cs="Arial"/>
                <w:szCs w:val="20"/>
              </w:rPr>
              <w:t>.</w:t>
            </w:r>
          </w:p>
          <w:p w14:paraId="4C1B0EB4" w14:textId="7D4BA1F5" w:rsidR="00F91668" w:rsidRPr="00F91668" w:rsidRDefault="00F91668" w:rsidP="00064D28">
            <w:pPr>
              <w:rPr>
                <w:rFonts w:cs="Arial"/>
                <w:szCs w:val="20"/>
              </w:rPr>
            </w:pPr>
          </w:p>
        </w:tc>
      </w:tr>
    </w:tbl>
    <w:p w14:paraId="2DA63A1B" w14:textId="77777777" w:rsidR="00F91668" w:rsidRPr="00F91668" w:rsidRDefault="00F91668" w:rsidP="00F91668">
      <w:pPr>
        <w:rPr>
          <w:rFonts w:cs="Arial"/>
          <w:szCs w:val="20"/>
        </w:rPr>
      </w:pPr>
    </w:p>
    <w:p w14:paraId="5D0FDF4B" w14:textId="783A6937" w:rsidR="00F91668" w:rsidRPr="00F91668" w:rsidRDefault="00F91668" w:rsidP="00F91668">
      <w:pPr>
        <w:pStyle w:val="Heading2"/>
        <w:rPr>
          <w:rFonts w:ascii="Arial" w:hAnsi="Arial" w:cs="Arial"/>
          <w:sz w:val="20"/>
          <w:szCs w:val="20"/>
        </w:rPr>
      </w:pPr>
      <w:r w:rsidRPr="00F91668">
        <w:rPr>
          <w:rFonts w:ascii="Arial" w:hAnsi="Arial" w:cs="Arial"/>
          <w:sz w:val="20"/>
          <w:szCs w:val="20"/>
        </w:rPr>
        <w:lastRenderedPageBreak/>
        <w:t xml:space="preserve">Comment 3 </w:t>
      </w:r>
    </w:p>
    <w:tbl>
      <w:tblPr>
        <w:tblW w:w="0" w:type="auto"/>
        <w:jc w:val="center"/>
        <w:tblLook w:val="04A0" w:firstRow="1" w:lastRow="0" w:firstColumn="1" w:lastColumn="0" w:noHBand="0" w:noVBand="1"/>
      </w:tblPr>
      <w:tblGrid>
        <w:gridCol w:w="10224"/>
      </w:tblGrid>
      <w:tr w:rsidR="00F91668" w:rsidRPr="00F91668" w14:paraId="34A91DBF" w14:textId="77777777" w:rsidTr="00064D28">
        <w:trPr>
          <w:jc w:val="center"/>
        </w:trPr>
        <w:tc>
          <w:tcPr>
            <w:tcW w:w="10224" w:type="dxa"/>
            <w:shd w:val="clear" w:color="auto" w:fill="E7E6E6"/>
            <w:tcMar>
              <w:top w:w="80" w:type="dxa"/>
              <w:left w:w="100" w:type="dxa"/>
              <w:bottom w:w="80" w:type="dxa"/>
              <w:right w:w="100" w:type="dxa"/>
            </w:tcMar>
          </w:tcPr>
          <w:p w14:paraId="44F63702" w14:textId="77777777" w:rsidR="00F91668" w:rsidRPr="00F91668" w:rsidRDefault="00F91668" w:rsidP="00064D28">
            <w:pPr>
              <w:rPr>
                <w:rFonts w:cs="Arial"/>
                <w:szCs w:val="20"/>
              </w:rPr>
            </w:pPr>
            <w:r w:rsidRPr="00F91668">
              <w:rPr>
                <w:rFonts w:cs="Arial"/>
                <w:b/>
                <w:szCs w:val="20"/>
              </w:rPr>
              <w:t xml:space="preserve">Reviewer comment: </w:t>
            </w:r>
            <w:r w:rsidRPr="00F91668">
              <w:rPr>
                <w:rFonts w:cs="Arial"/>
                <w:szCs w:val="20"/>
              </w:rPr>
              <w:t>A more fundamental concern is that the manuscript does not provide direct confirmation of CNP formation. Particle size, PDI, and zeta potential from DLS are reported, but DLS alone cannot confirm nanoparticle identity or the occurrence of ionic crosslinking between chitosan and TPP, these are indirect, size-based measurements that could also be produced by other colloidal species or aggregates. The authors should include complementary characterization to substantiate that CNPs were indeed formed, such as FTIR or SEM/EDX.</w:t>
            </w:r>
            <w:r w:rsidRPr="00F91668">
              <w:rPr>
                <w:rFonts w:cs="Arial"/>
                <w:szCs w:val="20"/>
              </w:rPr>
              <w:br/>
            </w:r>
            <w:r w:rsidRPr="00F91668">
              <w:rPr>
                <w:rFonts w:cs="Arial"/>
                <w:szCs w:val="20"/>
              </w:rPr>
              <w:br/>
              <w:t>I recommend the authors include at least one form of chemical confirmation (FTIR) and morphological data (TEM/SEM) before the findings can be considered conclusive, and revise the novelty statement and scale-up framing to more accurately reflect the scope and significance of the study.</w:t>
            </w:r>
          </w:p>
        </w:tc>
      </w:tr>
      <w:tr w:rsidR="00F91668" w:rsidRPr="00F91668" w14:paraId="748FDC4B" w14:textId="77777777" w:rsidTr="00064D28">
        <w:trPr>
          <w:jc w:val="center"/>
        </w:trPr>
        <w:tc>
          <w:tcPr>
            <w:tcW w:w="10224" w:type="dxa"/>
            <w:shd w:val="clear" w:color="auto" w:fill="FFFFFF"/>
            <w:tcMar>
              <w:top w:w="80" w:type="dxa"/>
              <w:left w:w="100" w:type="dxa"/>
              <w:bottom w:w="80" w:type="dxa"/>
              <w:right w:w="100" w:type="dxa"/>
            </w:tcMar>
          </w:tcPr>
          <w:p w14:paraId="56E6EFF1" w14:textId="30F794E5" w:rsidR="00F91668" w:rsidRPr="00F91668" w:rsidRDefault="00F91668" w:rsidP="00064D28">
            <w:pPr>
              <w:rPr>
                <w:rFonts w:cs="Arial"/>
                <w:szCs w:val="20"/>
              </w:rPr>
            </w:pPr>
            <w:r w:rsidRPr="00F91668">
              <w:rPr>
                <w:rFonts w:cs="Arial"/>
                <w:b/>
                <w:szCs w:val="20"/>
              </w:rPr>
              <w:t xml:space="preserve">Response: </w:t>
            </w:r>
            <w:r w:rsidRPr="00F91668">
              <w:rPr>
                <w:rFonts w:cs="Arial"/>
                <w:szCs w:val="20"/>
              </w:rPr>
              <w:t>We agree that DLS provides information on hydrodynamic particle size and size distribution but does not, by itself, provide direct morphological evidence of nanoparticle formation or chemical evidence of the interactions associated with ionic crosslinking between chitosan and TPP.</w:t>
            </w:r>
            <w:r w:rsidRPr="00F91668">
              <w:rPr>
                <w:rFonts w:cs="Arial"/>
                <w:szCs w:val="20"/>
              </w:rPr>
              <w:br/>
            </w:r>
            <w:r w:rsidRPr="00F91668">
              <w:rPr>
                <w:rFonts w:cs="Arial"/>
                <w:szCs w:val="20"/>
              </w:rPr>
              <w:br/>
            </w:r>
            <w:r w:rsidR="00C85F9B" w:rsidRPr="00C85F9B">
              <w:rPr>
                <w:rFonts w:cs="Arial"/>
                <w:szCs w:val="20"/>
              </w:rPr>
              <w:t xml:space="preserve">In the original submission, the scope of </w:t>
            </w:r>
            <w:proofErr w:type="spellStart"/>
            <w:r w:rsidR="00C85F9B" w:rsidRPr="00C85F9B">
              <w:rPr>
                <w:rFonts w:cs="Arial"/>
                <w:szCs w:val="20"/>
              </w:rPr>
              <w:t>characterisation</w:t>
            </w:r>
            <w:proofErr w:type="spellEnd"/>
            <w:r w:rsidR="00C85F9B" w:rsidRPr="00C85F9B">
              <w:rPr>
                <w:rFonts w:cs="Arial"/>
                <w:szCs w:val="20"/>
              </w:rPr>
              <w:t xml:space="preserve"> was intentionally limited because this conference paper was designed as a preliminary laboratory-scale feasibility study focusing specifically on changes in particle size, PDI, and zeta potential following an increase in preparation volume</w:t>
            </w:r>
            <w:r w:rsidRPr="00F91668">
              <w:rPr>
                <w:rFonts w:cs="Arial"/>
                <w:szCs w:val="20"/>
              </w:rPr>
              <w:t xml:space="preserve">. More comprehensive </w:t>
            </w:r>
            <w:proofErr w:type="spellStart"/>
            <w:r w:rsidRPr="00F91668">
              <w:rPr>
                <w:rFonts w:cs="Arial"/>
                <w:szCs w:val="20"/>
              </w:rPr>
              <w:t>characterisation</w:t>
            </w:r>
            <w:proofErr w:type="spellEnd"/>
            <w:r w:rsidRPr="00F91668">
              <w:rPr>
                <w:rFonts w:cs="Arial"/>
                <w:szCs w:val="20"/>
              </w:rPr>
              <w:t xml:space="preserve">, including morphological analysis, had initially been reserved for a subsequent full-length publication incorporating additional physicochemical </w:t>
            </w:r>
            <w:proofErr w:type="spellStart"/>
            <w:r w:rsidRPr="00F91668">
              <w:rPr>
                <w:rFonts w:cs="Arial"/>
                <w:szCs w:val="20"/>
              </w:rPr>
              <w:t>characterisation</w:t>
            </w:r>
            <w:proofErr w:type="spellEnd"/>
            <w:r w:rsidRPr="00F91668">
              <w:rPr>
                <w:rFonts w:cs="Arial"/>
                <w:szCs w:val="20"/>
              </w:rPr>
              <w:t>.</w:t>
            </w:r>
            <w:r w:rsidRPr="00F91668">
              <w:rPr>
                <w:rFonts w:cs="Arial"/>
                <w:szCs w:val="20"/>
              </w:rPr>
              <w:br/>
            </w:r>
            <w:r w:rsidRPr="00F91668">
              <w:rPr>
                <w:rFonts w:cs="Arial"/>
                <w:szCs w:val="20"/>
              </w:rPr>
              <w:br/>
            </w:r>
            <w:r w:rsidR="00C85F9B" w:rsidRPr="00C85F9B">
              <w:rPr>
                <w:rFonts w:cs="Arial"/>
                <w:szCs w:val="20"/>
              </w:rPr>
              <w:t xml:space="preserve">Nevertheless, in response to the reviewer’s concern, we have strengthened the revised manuscript by including complementary </w:t>
            </w:r>
            <w:proofErr w:type="spellStart"/>
            <w:r w:rsidR="00C85F9B" w:rsidRPr="00C85F9B">
              <w:rPr>
                <w:rFonts w:cs="Arial"/>
                <w:szCs w:val="20"/>
              </w:rPr>
              <w:t>characterisation</w:t>
            </w:r>
            <w:proofErr w:type="spellEnd"/>
            <w:r w:rsidR="00C85F9B" w:rsidRPr="00C85F9B">
              <w:rPr>
                <w:rFonts w:cs="Arial"/>
                <w:szCs w:val="20"/>
              </w:rPr>
              <w:t xml:space="preserve"> data. FTIR data from the established laboratory-scale CNP formulation have been included as supporting evidence of the characteristic interactions associated with chitosan–TPP ionic gelation. We have also included representative TEM images of the </w:t>
            </w:r>
            <w:r w:rsidR="00C85F9B">
              <w:rPr>
                <w:rFonts w:cs="Arial"/>
                <w:szCs w:val="20"/>
              </w:rPr>
              <w:t>small-volume</w:t>
            </w:r>
            <w:r w:rsidR="00C85F9B" w:rsidRPr="00C85F9B">
              <w:rPr>
                <w:rFonts w:cs="Arial"/>
                <w:szCs w:val="20"/>
              </w:rPr>
              <w:t xml:space="preserve"> and </w:t>
            </w:r>
            <w:r w:rsidR="00C85F9B">
              <w:rPr>
                <w:rFonts w:cs="Arial"/>
                <w:szCs w:val="20"/>
              </w:rPr>
              <w:t xml:space="preserve">increased-volume </w:t>
            </w:r>
            <w:r w:rsidR="00C85F9B" w:rsidRPr="00C85F9B">
              <w:rPr>
                <w:rFonts w:cs="Arial"/>
                <w:szCs w:val="20"/>
              </w:rPr>
              <w:t>preparations to provide direct morphological evidence of nanosized particles.</w:t>
            </w:r>
          </w:p>
        </w:tc>
      </w:tr>
    </w:tbl>
    <w:p w14:paraId="07C80FE4" w14:textId="77777777" w:rsidR="00F91668" w:rsidRPr="00F91668" w:rsidRDefault="00F91668" w:rsidP="00F91668">
      <w:pPr>
        <w:rPr>
          <w:rFonts w:cs="Arial"/>
          <w:szCs w:val="20"/>
        </w:rPr>
      </w:pPr>
    </w:p>
    <w:p w14:paraId="2116416C" w14:textId="77777777" w:rsidR="00F91668" w:rsidRPr="00F91668" w:rsidRDefault="00F91668" w:rsidP="00F91668">
      <w:pPr>
        <w:pStyle w:val="Heading1"/>
        <w:rPr>
          <w:rFonts w:ascii="Arial" w:hAnsi="Arial" w:cs="Arial"/>
          <w:sz w:val="20"/>
          <w:szCs w:val="20"/>
        </w:rPr>
      </w:pPr>
      <w:r w:rsidRPr="00F91668">
        <w:rPr>
          <w:rFonts w:ascii="Arial" w:hAnsi="Arial" w:cs="Arial"/>
          <w:sz w:val="20"/>
          <w:szCs w:val="20"/>
        </w:rPr>
        <w:t>Reviewer #2</w:t>
      </w:r>
    </w:p>
    <w:p w14:paraId="2743484C" w14:textId="4D0FF518" w:rsidR="00F91668" w:rsidRPr="00F91668" w:rsidRDefault="00F91668" w:rsidP="00F91668">
      <w:pPr>
        <w:pStyle w:val="Heading2"/>
        <w:rPr>
          <w:rFonts w:ascii="Arial" w:hAnsi="Arial" w:cs="Arial"/>
          <w:sz w:val="20"/>
          <w:szCs w:val="20"/>
        </w:rPr>
      </w:pPr>
      <w:r w:rsidRPr="00F91668">
        <w:rPr>
          <w:rFonts w:ascii="Arial" w:hAnsi="Arial" w:cs="Arial"/>
          <w:sz w:val="20"/>
          <w:szCs w:val="20"/>
        </w:rPr>
        <w:t xml:space="preserve">Comment 1 </w:t>
      </w:r>
    </w:p>
    <w:tbl>
      <w:tblPr>
        <w:tblW w:w="0" w:type="auto"/>
        <w:jc w:val="center"/>
        <w:tblLook w:val="04A0" w:firstRow="1" w:lastRow="0" w:firstColumn="1" w:lastColumn="0" w:noHBand="0" w:noVBand="1"/>
      </w:tblPr>
      <w:tblGrid>
        <w:gridCol w:w="10224"/>
      </w:tblGrid>
      <w:tr w:rsidR="00F91668" w:rsidRPr="00F91668" w14:paraId="41D39705" w14:textId="77777777" w:rsidTr="00064D28">
        <w:trPr>
          <w:jc w:val="center"/>
        </w:trPr>
        <w:tc>
          <w:tcPr>
            <w:tcW w:w="10224" w:type="dxa"/>
            <w:shd w:val="clear" w:color="auto" w:fill="E7E6E6"/>
            <w:tcMar>
              <w:top w:w="80" w:type="dxa"/>
              <w:left w:w="100" w:type="dxa"/>
              <w:bottom w:w="80" w:type="dxa"/>
              <w:right w:w="100" w:type="dxa"/>
            </w:tcMar>
          </w:tcPr>
          <w:p w14:paraId="5B395736" w14:textId="77777777" w:rsidR="00F91668" w:rsidRPr="00F91668" w:rsidRDefault="00F91668" w:rsidP="00064D28">
            <w:pPr>
              <w:rPr>
                <w:rFonts w:cs="Arial"/>
                <w:szCs w:val="20"/>
              </w:rPr>
            </w:pPr>
            <w:r w:rsidRPr="00F91668">
              <w:rPr>
                <w:rFonts w:cs="Arial"/>
                <w:b/>
                <w:szCs w:val="20"/>
              </w:rPr>
              <w:t xml:space="preserve">Reviewer comment: </w:t>
            </w:r>
            <w:r w:rsidRPr="00F91668">
              <w:rPr>
                <w:rFonts w:cs="Arial"/>
                <w:szCs w:val="20"/>
              </w:rPr>
              <w:t>The authors should provide more details on the scale-up methodology, including the TPP addition rate, mixing conditions, and number of independent batches.</w:t>
            </w:r>
          </w:p>
        </w:tc>
      </w:tr>
      <w:tr w:rsidR="00F91668" w:rsidRPr="00F91668" w14:paraId="04B38853" w14:textId="77777777" w:rsidTr="00064D28">
        <w:trPr>
          <w:jc w:val="center"/>
        </w:trPr>
        <w:tc>
          <w:tcPr>
            <w:tcW w:w="10224" w:type="dxa"/>
            <w:shd w:val="clear" w:color="auto" w:fill="FFFFFF"/>
            <w:tcMar>
              <w:top w:w="80" w:type="dxa"/>
              <w:left w:w="100" w:type="dxa"/>
              <w:bottom w:w="80" w:type="dxa"/>
              <w:right w:w="100" w:type="dxa"/>
            </w:tcMar>
          </w:tcPr>
          <w:p w14:paraId="6D5583F0" w14:textId="537164E0" w:rsidR="00F91668" w:rsidRPr="00F91668" w:rsidRDefault="00F91668" w:rsidP="00064D28">
            <w:pPr>
              <w:rPr>
                <w:rFonts w:cs="Arial"/>
                <w:szCs w:val="20"/>
              </w:rPr>
            </w:pPr>
            <w:r w:rsidRPr="00F91668">
              <w:rPr>
                <w:rFonts w:cs="Arial"/>
                <w:b/>
                <w:szCs w:val="20"/>
              </w:rPr>
              <w:t xml:space="preserve">Response: </w:t>
            </w:r>
            <w:r w:rsidRPr="00F91668">
              <w:rPr>
                <w:rFonts w:cs="Arial"/>
                <w:szCs w:val="20"/>
              </w:rPr>
              <w:t xml:space="preserve">The Methods section has been revised to clarify the preparation procedures and number of independent batches. </w:t>
            </w:r>
          </w:p>
        </w:tc>
      </w:tr>
    </w:tbl>
    <w:p w14:paraId="12C09710" w14:textId="77777777" w:rsidR="00F91668" w:rsidRPr="00F91668" w:rsidRDefault="00F91668" w:rsidP="00F91668">
      <w:pPr>
        <w:rPr>
          <w:rFonts w:cs="Arial"/>
          <w:szCs w:val="20"/>
        </w:rPr>
      </w:pPr>
    </w:p>
    <w:p w14:paraId="0170059A" w14:textId="73B6F633" w:rsidR="00F91668" w:rsidRPr="00F91668" w:rsidRDefault="00F91668" w:rsidP="00F91668">
      <w:pPr>
        <w:pStyle w:val="Heading2"/>
        <w:rPr>
          <w:rFonts w:ascii="Arial" w:hAnsi="Arial" w:cs="Arial"/>
          <w:sz w:val="20"/>
          <w:szCs w:val="20"/>
        </w:rPr>
      </w:pPr>
      <w:r w:rsidRPr="00F91668">
        <w:rPr>
          <w:rFonts w:ascii="Arial" w:hAnsi="Arial" w:cs="Arial"/>
          <w:sz w:val="20"/>
          <w:szCs w:val="20"/>
        </w:rPr>
        <w:t xml:space="preserve">Comment 2 </w:t>
      </w:r>
    </w:p>
    <w:tbl>
      <w:tblPr>
        <w:tblW w:w="0" w:type="auto"/>
        <w:jc w:val="center"/>
        <w:tblLook w:val="04A0" w:firstRow="1" w:lastRow="0" w:firstColumn="1" w:lastColumn="0" w:noHBand="0" w:noVBand="1"/>
      </w:tblPr>
      <w:tblGrid>
        <w:gridCol w:w="10224"/>
      </w:tblGrid>
      <w:tr w:rsidR="00F91668" w:rsidRPr="00F91668" w14:paraId="54D589B8" w14:textId="77777777" w:rsidTr="00064D28">
        <w:trPr>
          <w:jc w:val="center"/>
        </w:trPr>
        <w:tc>
          <w:tcPr>
            <w:tcW w:w="10224" w:type="dxa"/>
            <w:shd w:val="clear" w:color="auto" w:fill="E7E6E6"/>
            <w:tcMar>
              <w:top w:w="80" w:type="dxa"/>
              <w:left w:w="100" w:type="dxa"/>
              <w:bottom w:w="80" w:type="dxa"/>
              <w:right w:w="100" w:type="dxa"/>
            </w:tcMar>
          </w:tcPr>
          <w:p w14:paraId="41938EAE" w14:textId="77777777" w:rsidR="00F91668" w:rsidRPr="00F91668" w:rsidRDefault="00F91668" w:rsidP="00064D28">
            <w:pPr>
              <w:rPr>
                <w:rFonts w:cs="Arial"/>
                <w:szCs w:val="20"/>
              </w:rPr>
            </w:pPr>
            <w:r w:rsidRPr="00F91668">
              <w:rPr>
                <w:rFonts w:cs="Arial"/>
                <w:b/>
                <w:szCs w:val="20"/>
              </w:rPr>
              <w:t xml:space="preserve">Reviewer comment: </w:t>
            </w:r>
            <w:r w:rsidRPr="00F91668">
              <w:rPr>
                <w:rFonts w:cs="Arial"/>
                <w:szCs w:val="20"/>
              </w:rPr>
              <w:t>The basis for comparing the dropwise and roller-mixing approaches should also be clarified, as the two methods differ not only in mixing method but also in solution addition mode.</w:t>
            </w:r>
          </w:p>
        </w:tc>
      </w:tr>
      <w:tr w:rsidR="00F91668" w:rsidRPr="00F91668" w14:paraId="731EA78F" w14:textId="77777777" w:rsidTr="00064D28">
        <w:trPr>
          <w:jc w:val="center"/>
        </w:trPr>
        <w:tc>
          <w:tcPr>
            <w:tcW w:w="10224" w:type="dxa"/>
            <w:shd w:val="clear" w:color="auto" w:fill="FFFFFF"/>
            <w:tcMar>
              <w:top w:w="80" w:type="dxa"/>
              <w:left w:w="100" w:type="dxa"/>
              <w:bottom w:w="80" w:type="dxa"/>
              <w:right w:w="100" w:type="dxa"/>
            </w:tcMar>
          </w:tcPr>
          <w:p w14:paraId="1F113B5A" w14:textId="4037BB51" w:rsidR="00F91668" w:rsidRPr="00F91668" w:rsidRDefault="00F91668" w:rsidP="00064D28">
            <w:pPr>
              <w:rPr>
                <w:rFonts w:cs="Arial"/>
                <w:szCs w:val="20"/>
              </w:rPr>
            </w:pPr>
            <w:r w:rsidRPr="00F91668">
              <w:rPr>
                <w:rFonts w:cs="Arial"/>
                <w:b/>
                <w:szCs w:val="20"/>
              </w:rPr>
              <w:t xml:space="preserve">Response: </w:t>
            </w:r>
            <w:r w:rsidRPr="00F91668">
              <w:rPr>
                <w:rFonts w:cs="Arial"/>
                <w:szCs w:val="20"/>
              </w:rPr>
              <w:t xml:space="preserve">We agree that the two approaches differ not only in the subsequent mixing process but also in the mode by which chitosan and TPP are brought into contact. The terminology in the manuscript has therefore been revised from “mixing approaches” to “preparation approaches” where appropriate. The conventional approach involved gradual addition of TPP to chitosan, whereas in the roller-mixing approach the required volumes of chitosan and TPP were combined directly before roller mixing. The manuscript has also been revised to clarify </w:t>
            </w:r>
            <w:r w:rsidRPr="00F91668">
              <w:rPr>
                <w:rFonts w:cs="Arial"/>
                <w:szCs w:val="20"/>
              </w:rPr>
              <w:lastRenderedPageBreak/>
              <w:t>that observed differences in particle characteristics cannot be attributed solely to roller mixing, as solution addition mode and mixing conditions were not evaluated independently.</w:t>
            </w:r>
          </w:p>
        </w:tc>
      </w:tr>
    </w:tbl>
    <w:p w14:paraId="34CD8DFD" w14:textId="77777777" w:rsidR="00F91668" w:rsidRPr="00F91668" w:rsidRDefault="00F91668" w:rsidP="00F91668">
      <w:pPr>
        <w:rPr>
          <w:rFonts w:cs="Arial"/>
          <w:szCs w:val="20"/>
        </w:rPr>
      </w:pPr>
    </w:p>
    <w:p w14:paraId="4CCCE299" w14:textId="78ABD929" w:rsidR="00F91668" w:rsidRPr="00F91668" w:rsidRDefault="00F91668" w:rsidP="00F91668">
      <w:pPr>
        <w:pStyle w:val="Heading2"/>
        <w:rPr>
          <w:rFonts w:ascii="Arial" w:hAnsi="Arial" w:cs="Arial"/>
          <w:sz w:val="20"/>
          <w:szCs w:val="20"/>
        </w:rPr>
      </w:pPr>
      <w:r w:rsidRPr="00F91668">
        <w:rPr>
          <w:rFonts w:ascii="Arial" w:hAnsi="Arial" w:cs="Arial"/>
          <w:sz w:val="20"/>
          <w:szCs w:val="20"/>
        </w:rPr>
        <w:t xml:space="preserve">Comment 3 </w:t>
      </w:r>
    </w:p>
    <w:tbl>
      <w:tblPr>
        <w:tblW w:w="0" w:type="auto"/>
        <w:jc w:val="center"/>
        <w:tblLook w:val="04A0" w:firstRow="1" w:lastRow="0" w:firstColumn="1" w:lastColumn="0" w:noHBand="0" w:noVBand="1"/>
      </w:tblPr>
      <w:tblGrid>
        <w:gridCol w:w="10224"/>
      </w:tblGrid>
      <w:tr w:rsidR="00F91668" w:rsidRPr="00F91668" w14:paraId="76A263C8" w14:textId="77777777" w:rsidTr="00064D28">
        <w:trPr>
          <w:jc w:val="center"/>
        </w:trPr>
        <w:tc>
          <w:tcPr>
            <w:tcW w:w="10224" w:type="dxa"/>
            <w:shd w:val="clear" w:color="auto" w:fill="E7E6E6"/>
            <w:tcMar>
              <w:top w:w="80" w:type="dxa"/>
              <w:left w:w="100" w:type="dxa"/>
              <w:bottom w:w="80" w:type="dxa"/>
              <w:right w:w="100" w:type="dxa"/>
            </w:tcMar>
          </w:tcPr>
          <w:p w14:paraId="6B1DF08E" w14:textId="77777777" w:rsidR="00F91668" w:rsidRPr="00F91668" w:rsidRDefault="00F91668" w:rsidP="00064D28">
            <w:pPr>
              <w:rPr>
                <w:rFonts w:cs="Arial"/>
                <w:szCs w:val="20"/>
              </w:rPr>
            </w:pPr>
            <w:r w:rsidRPr="00F91668">
              <w:rPr>
                <w:rFonts w:cs="Arial"/>
                <w:b/>
                <w:szCs w:val="20"/>
              </w:rPr>
              <w:t xml:space="preserve">Reviewer comment: </w:t>
            </w:r>
            <w:r w:rsidRPr="00F91668">
              <w:rPr>
                <w:rFonts w:cs="Arial"/>
                <w:szCs w:val="20"/>
              </w:rPr>
              <w:t xml:space="preserve">The interpretation of the observed particle-size differences should be presented more cautiously, as the underlying mixing and crosslinking mechanisms were not directly </w:t>
            </w:r>
            <w:proofErr w:type="spellStart"/>
            <w:r w:rsidRPr="00F91668">
              <w:rPr>
                <w:rFonts w:cs="Arial"/>
                <w:szCs w:val="20"/>
              </w:rPr>
              <w:t>characterised</w:t>
            </w:r>
            <w:proofErr w:type="spellEnd"/>
            <w:r w:rsidRPr="00F91668">
              <w:rPr>
                <w:rFonts w:cs="Arial"/>
                <w:szCs w:val="20"/>
              </w:rPr>
              <w:t>.</w:t>
            </w:r>
          </w:p>
        </w:tc>
      </w:tr>
      <w:tr w:rsidR="00F91668" w:rsidRPr="00F91668" w14:paraId="3C1A4BBE" w14:textId="77777777" w:rsidTr="00064D28">
        <w:trPr>
          <w:jc w:val="center"/>
        </w:trPr>
        <w:tc>
          <w:tcPr>
            <w:tcW w:w="10224" w:type="dxa"/>
            <w:shd w:val="clear" w:color="auto" w:fill="FFFFFF"/>
            <w:tcMar>
              <w:top w:w="80" w:type="dxa"/>
              <w:left w:w="100" w:type="dxa"/>
              <w:bottom w:w="80" w:type="dxa"/>
              <w:right w:w="100" w:type="dxa"/>
            </w:tcMar>
          </w:tcPr>
          <w:p w14:paraId="4EDAD496" w14:textId="4E8D8CCE" w:rsidR="00F91668" w:rsidRPr="00F91668" w:rsidRDefault="00F91668" w:rsidP="00064D28">
            <w:pPr>
              <w:rPr>
                <w:rFonts w:cs="Arial"/>
                <w:szCs w:val="20"/>
              </w:rPr>
            </w:pPr>
            <w:r w:rsidRPr="00F91668">
              <w:rPr>
                <w:rFonts w:cs="Arial"/>
                <w:b/>
                <w:szCs w:val="20"/>
              </w:rPr>
              <w:t xml:space="preserve">Response: </w:t>
            </w:r>
            <w:r w:rsidRPr="00F91668">
              <w:rPr>
                <w:rFonts w:cs="Arial"/>
                <w:szCs w:val="20"/>
              </w:rPr>
              <w:t xml:space="preserve">We agree </w:t>
            </w:r>
            <w:r w:rsidR="00851200">
              <w:rPr>
                <w:rFonts w:cs="Arial"/>
                <w:szCs w:val="20"/>
              </w:rPr>
              <w:t>and have</w:t>
            </w:r>
            <w:r w:rsidRPr="00F91668">
              <w:rPr>
                <w:rFonts w:cs="Arial"/>
                <w:szCs w:val="20"/>
              </w:rPr>
              <w:t xml:space="preserve"> revised the Discussion accordingly. The smaller particle size observed with the roller-mixing preparation is now discussed cautiously as potentially reflecting the combined effects of solution addition mode and subsequent mixing conditions on local chitosan-TPP interactions. Because these factors were not independently evaluated and the underlying mixing and crosslinking mechanisms were not directly </w:t>
            </w:r>
            <w:proofErr w:type="spellStart"/>
            <w:r w:rsidRPr="00F91668">
              <w:rPr>
                <w:rFonts w:cs="Arial"/>
                <w:szCs w:val="20"/>
              </w:rPr>
              <w:t>characterised</w:t>
            </w:r>
            <w:proofErr w:type="spellEnd"/>
            <w:r w:rsidRPr="00F91668">
              <w:rPr>
                <w:rFonts w:cs="Arial"/>
                <w:szCs w:val="20"/>
              </w:rPr>
              <w:t>, the revised manuscript does not assign the observed particle-size difference to a specific mechanism. The interpretation is now limited to the experimental observation that the roller-mixing preparation produced smaller particles that remained within the nanoscale range and exhibited a low PDI.</w:t>
            </w:r>
          </w:p>
        </w:tc>
      </w:tr>
    </w:tbl>
    <w:p w14:paraId="37ADBB32" w14:textId="77777777" w:rsidR="00F91668" w:rsidRPr="00F91668" w:rsidRDefault="00F91668" w:rsidP="00F91668">
      <w:pPr>
        <w:rPr>
          <w:rFonts w:cs="Arial"/>
          <w:szCs w:val="20"/>
        </w:rPr>
      </w:pPr>
    </w:p>
    <w:p w14:paraId="1EF3491A" w14:textId="00DEA6A6" w:rsidR="00F91668" w:rsidRPr="00F91668" w:rsidRDefault="00F91668" w:rsidP="00F91668">
      <w:pPr>
        <w:pStyle w:val="Heading2"/>
        <w:rPr>
          <w:rFonts w:ascii="Arial" w:hAnsi="Arial" w:cs="Arial"/>
          <w:sz w:val="20"/>
          <w:szCs w:val="20"/>
        </w:rPr>
      </w:pPr>
      <w:r w:rsidRPr="00F91668">
        <w:rPr>
          <w:rFonts w:ascii="Arial" w:hAnsi="Arial" w:cs="Arial"/>
          <w:sz w:val="20"/>
          <w:szCs w:val="20"/>
        </w:rPr>
        <w:t xml:space="preserve">Comment 4 </w:t>
      </w:r>
    </w:p>
    <w:tbl>
      <w:tblPr>
        <w:tblW w:w="0" w:type="auto"/>
        <w:jc w:val="center"/>
        <w:tblLook w:val="04A0" w:firstRow="1" w:lastRow="0" w:firstColumn="1" w:lastColumn="0" w:noHBand="0" w:noVBand="1"/>
      </w:tblPr>
      <w:tblGrid>
        <w:gridCol w:w="10224"/>
      </w:tblGrid>
      <w:tr w:rsidR="00F91668" w:rsidRPr="00F91668" w14:paraId="4CB59E99" w14:textId="77777777" w:rsidTr="00064D28">
        <w:trPr>
          <w:jc w:val="center"/>
        </w:trPr>
        <w:tc>
          <w:tcPr>
            <w:tcW w:w="10224" w:type="dxa"/>
            <w:shd w:val="clear" w:color="auto" w:fill="E7E6E6"/>
            <w:tcMar>
              <w:top w:w="80" w:type="dxa"/>
              <w:left w:w="100" w:type="dxa"/>
              <w:bottom w:w="80" w:type="dxa"/>
              <w:right w:w="100" w:type="dxa"/>
            </w:tcMar>
          </w:tcPr>
          <w:p w14:paraId="76483F69" w14:textId="77777777" w:rsidR="00F91668" w:rsidRPr="00F91668" w:rsidRDefault="00F91668" w:rsidP="00064D28">
            <w:pPr>
              <w:rPr>
                <w:rFonts w:cs="Arial"/>
                <w:szCs w:val="20"/>
              </w:rPr>
            </w:pPr>
            <w:r w:rsidRPr="00F91668">
              <w:rPr>
                <w:rFonts w:cs="Arial"/>
                <w:b/>
                <w:szCs w:val="20"/>
              </w:rPr>
              <w:t xml:space="preserve">Reviewer comment: </w:t>
            </w:r>
            <w:r w:rsidRPr="00F91668">
              <w:rPr>
                <w:rFonts w:cs="Arial"/>
                <w:szCs w:val="20"/>
              </w:rPr>
              <w:t xml:space="preserve">The manuscript would also benefit from additional morphological </w:t>
            </w:r>
            <w:proofErr w:type="spellStart"/>
            <w:r w:rsidRPr="00F91668">
              <w:rPr>
                <w:rFonts w:cs="Arial"/>
                <w:szCs w:val="20"/>
              </w:rPr>
              <w:t>characterisation</w:t>
            </w:r>
            <w:proofErr w:type="spellEnd"/>
            <w:r w:rsidRPr="00F91668">
              <w:rPr>
                <w:rFonts w:cs="Arial"/>
                <w:szCs w:val="20"/>
              </w:rPr>
              <w:t>, such as SEM or TEM, to verify the particle morphology and provide supporting evidence for the formation of nanosized chitosan particles.</w:t>
            </w:r>
          </w:p>
        </w:tc>
      </w:tr>
      <w:tr w:rsidR="00F91668" w:rsidRPr="00F91668" w14:paraId="78BD1BB7" w14:textId="77777777" w:rsidTr="00064D28">
        <w:trPr>
          <w:jc w:val="center"/>
        </w:trPr>
        <w:tc>
          <w:tcPr>
            <w:tcW w:w="10224" w:type="dxa"/>
            <w:shd w:val="clear" w:color="auto" w:fill="FFFFFF"/>
            <w:tcMar>
              <w:top w:w="80" w:type="dxa"/>
              <w:left w:w="100" w:type="dxa"/>
              <w:bottom w:w="80" w:type="dxa"/>
              <w:right w:w="100" w:type="dxa"/>
            </w:tcMar>
          </w:tcPr>
          <w:p w14:paraId="6E922C5F" w14:textId="386CD095" w:rsidR="00F91668" w:rsidRPr="00F91668" w:rsidRDefault="00F91668" w:rsidP="00064D28">
            <w:pPr>
              <w:rPr>
                <w:rFonts w:cs="Arial"/>
                <w:szCs w:val="20"/>
              </w:rPr>
            </w:pPr>
            <w:r w:rsidRPr="00F91668">
              <w:rPr>
                <w:rFonts w:cs="Arial"/>
                <w:b/>
                <w:szCs w:val="20"/>
              </w:rPr>
              <w:t xml:space="preserve">Response: </w:t>
            </w:r>
            <w:r w:rsidRPr="00F91668">
              <w:rPr>
                <w:rFonts w:cs="Arial"/>
                <w:szCs w:val="20"/>
              </w:rPr>
              <w:t xml:space="preserve">Morphological </w:t>
            </w:r>
            <w:proofErr w:type="spellStart"/>
            <w:r w:rsidRPr="00F91668">
              <w:rPr>
                <w:rFonts w:cs="Arial"/>
                <w:szCs w:val="20"/>
              </w:rPr>
              <w:t>characterisation</w:t>
            </w:r>
            <w:proofErr w:type="spellEnd"/>
            <w:r w:rsidRPr="00F91668">
              <w:rPr>
                <w:rFonts w:cs="Arial"/>
                <w:szCs w:val="20"/>
              </w:rPr>
              <w:t xml:space="preserve"> had initially been reserved for a subsequent full-length study incorporating more comprehensive physicochemical </w:t>
            </w:r>
            <w:proofErr w:type="spellStart"/>
            <w:r w:rsidRPr="00F91668">
              <w:rPr>
                <w:rFonts w:cs="Arial"/>
                <w:szCs w:val="20"/>
              </w:rPr>
              <w:t>characterisation</w:t>
            </w:r>
            <w:proofErr w:type="spellEnd"/>
            <w:r w:rsidRPr="00F91668">
              <w:rPr>
                <w:rFonts w:cs="Arial"/>
                <w:szCs w:val="20"/>
              </w:rPr>
              <w:t xml:space="preserve">, as the present conference paper was intended to focus on preliminary feasibility of increasing the CNP preparation volume. Nevertheless, we agree that morphological evidence strengthens the present findings. Representative TEM images of the </w:t>
            </w:r>
            <w:r w:rsidR="00970BD9">
              <w:rPr>
                <w:rFonts w:cs="Arial"/>
                <w:szCs w:val="20"/>
              </w:rPr>
              <w:t>small</w:t>
            </w:r>
            <w:r w:rsidRPr="00F91668">
              <w:rPr>
                <w:rFonts w:cs="Arial"/>
                <w:szCs w:val="20"/>
              </w:rPr>
              <w:t>-</w:t>
            </w:r>
            <w:r w:rsidR="00970BD9">
              <w:rPr>
                <w:rFonts w:cs="Arial"/>
                <w:szCs w:val="20"/>
              </w:rPr>
              <w:t>volume preparation</w:t>
            </w:r>
            <w:r w:rsidRPr="00F91668">
              <w:rPr>
                <w:rFonts w:cs="Arial"/>
                <w:szCs w:val="20"/>
              </w:rPr>
              <w:t xml:space="preserve"> and increased-volume</w:t>
            </w:r>
            <w:r w:rsidR="00970BD9">
              <w:rPr>
                <w:rFonts w:cs="Arial"/>
                <w:szCs w:val="20"/>
              </w:rPr>
              <w:t xml:space="preserve"> </w:t>
            </w:r>
            <w:r w:rsidRPr="00F91668">
              <w:rPr>
                <w:rFonts w:cs="Arial"/>
                <w:szCs w:val="20"/>
              </w:rPr>
              <w:t>preparations</w:t>
            </w:r>
            <w:r w:rsidR="00970BD9">
              <w:rPr>
                <w:rFonts w:cs="Arial"/>
                <w:szCs w:val="20"/>
              </w:rPr>
              <w:t xml:space="preserve"> </w:t>
            </w:r>
            <w:r w:rsidRPr="00F91668">
              <w:rPr>
                <w:rFonts w:cs="Arial"/>
                <w:szCs w:val="20"/>
              </w:rPr>
              <w:t xml:space="preserve">have therefore been included in the revised manuscript to complement the DLS measurements and provide supporting morphological evidence of nanosized particles. </w:t>
            </w:r>
          </w:p>
        </w:tc>
      </w:tr>
    </w:tbl>
    <w:p w14:paraId="5CA8F093" w14:textId="77777777" w:rsidR="00F91668" w:rsidRPr="00F91668" w:rsidRDefault="00F91668" w:rsidP="00F91668">
      <w:pPr>
        <w:rPr>
          <w:rFonts w:cs="Arial"/>
          <w:szCs w:val="20"/>
        </w:rPr>
      </w:pPr>
    </w:p>
    <w:p w14:paraId="58221330" w14:textId="07A9318D" w:rsidR="00F91668" w:rsidRPr="00F91668" w:rsidRDefault="00F91668" w:rsidP="00F91668">
      <w:pPr>
        <w:pStyle w:val="Heading2"/>
        <w:rPr>
          <w:rFonts w:ascii="Arial" w:hAnsi="Arial" w:cs="Arial"/>
          <w:sz w:val="20"/>
          <w:szCs w:val="20"/>
        </w:rPr>
      </w:pPr>
      <w:r w:rsidRPr="00F91668">
        <w:rPr>
          <w:rFonts w:ascii="Arial" w:hAnsi="Arial" w:cs="Arial"/>
          <w:sz w:val="20"/>
          <w:szCs w:val="20"/>
        </w:rPr>
        <w:t xml:space="preserve">Comment 5 </w:t>
      </w:r>
    </w:p>
    <w:tbl>
      <w:tblPr>
        <w:tblW w:w="0" w:type="auto"/>
        <w:jc w:val="center"/>
        <w:tblLook w:val="04A0" w:firstRow="1" w:lastRow="0" w:firstColumn="1" w:lastColumn="0" w:noHBand="0" w:noVBand="1"/>
      </w:tblPr>
      <w:tblGrid>
        <w:gridCol w:w="10224"/>
      </w:tblGrid>
      <w:tr w:rsidR="00F91668" w:rsidRPr="00F91668" w14:paraId="75B79DB5" w14:textId="77777777" w:rsidTr="00064D28">
        <w:trPr>
          <w:jc w:val="center"/>
        </w:trPr>
        <w:tc>
          <w:tcPr>
            <w:tcW w:w="10224" w:type="dxa"/>
            <w:shd w:val="clear" w:color="auto" w:fill="E7E6E6"/>
            <w:tcMar>
              <w:top w:w="80" w:type="dxa"/>
              <w:left w:w="100" w:type="dxa"/>
              <w:bottom w:w="80" w:type="dxa"/>
              <w:right w:w="100" w:type="dxa"/>
            </w:tcMar>
          </w:tcPr>
          <w:p w14:paraId="2E4705D6" w14:textId="77777777" w:rsidR="00F91668" w:rsidRPr="00F91668" w:rsidRDefault="00F91668" w:rsidP="00064D28">
            <w:pPr>
              <w:rPr>
                <w:rFonts w:cs="Arial"/>
                <w:szCs w:val="20"/>
              </w:rPr>
            </w:pPr>
            <w:r w:rsidRPr="00F91668">
              <w:rPr>
                <w:rFonts w:cs="Arial"/>
                <w:b/>
                <w:szCs w:val="20"/>
              </w:rPr>
              <w:t xml:space="preserve">Reviewer comment: </w:t>
            </w:r>
            <w:r w:rsidRPr="00F91668">
              <w:rPr>
                <w:rFonts w:cs="Arial"/>
                <w:szCs w:val="20"/>
              </w:rPr>
              <w:t>The authors should also clarify that DLS measurements represent hydrodynamic particle size and provide sufficient details on DLS sample preparation and measurement conditions.</w:t>
            </w:r>
          </w:p>
        </w:tc>
      </w:tr>
      <w:tr w:rsidR="00F91668" w:rsidRPr="00F91668" w14:paraId="0C2A3410" w14:textId="77777777" w:rsidTr="00064D28">
        <w:trPr>
          <w:jc w:val="center"/>
        </w:trPr>
        <w:tc>
          <w:tcPr>
            <w:tcW w:w="10224" w:type="dxa"/>
            <w:shd w:val="clear" w:color="auto" w:fill="FFFFFF"/>
            <w:tcMar>
              <w:top w:w="80" w:type="dxa"/>
              <w:left w:w="100" w:type="dxa"/>
              <w:bottom w:w="80" w:type="dxa"/>
              <w:right w:w="100" w:type="dxa"/>
            </w:tcMar>
          </w:tcPr>
          <w:p w14:paraId="202A2716" w14:textId="4BDA7A19" w:rsidR="00F91668" w:rsidRPr="00F91668" w:rsidRDefault="00F91668" w:rsidP="00064D28">
            <w:pPr>
              <w:rPr>
                <w:rFonts w:cs="Arial"/>
                <w:szCs w:val="20"/>
              </w:rPr>
            </w:pPr>
            <w:r w:rsidRPr="00F91668">
              <w:rPr>
                <w:rFonts w:cs="Arial"/>
                <w:b/>
                <w:szCs w:val="20"/>
              </w:rPr>
              <w:t xml:space="preserve">Response: </w:t>
            </w:r>
            <w:r w:rsidRPr="00F91668">
              <w:rPr>
                <w:rFonts w:cs="Arial"/>
                <w:szCs w:val="20"/>
              </w:rPr>
              <w:t xml:space="preserve">The Methods section has been revised </w:t>
            </w:r>
            <w:r w:rsidR="003454F5" w:rsidRPr="00F91668">
              <w:rPr>
                <w:rFonts w:cs="Arial"/>
                <w:szCs w:val="20"/>
              </w:rPr>
              <w:t>to provide additional details on sample preparation and measurement conditions</w:t>
            </w:r>
            <w:r w:rsidR="003454F5">
              <w:rPr>
                <w:rFonts w:cs="Arial"/>
                <w:szCs w:val="20"/>
              </w:rPr>
              <w:t xml:space="preserve"> for DLS. The Discussion section has been revised </w:t>
            </w:r>
            <w:r w:rsidRPr="00F91668">
              <w:rPr>
                <w:rFonts w:cs="Arial"/>
                <w:szCs w:val="20"/>
              </w:rPr>
              <w:t xml:space="preserve">to clarify that particle sizes determined by </w:t>
            </w:r>
            <w:r w:rsidR="00970BD9">
              <w:rPr>
                <w:rFonts w:cs="Arial"/>
                <w:szCs w:val="20"/>
              </w:rPr>
              <w:t>DLS</w:t>
            </w:r>
            <w:r w:rsidRPr="00F91668">
              <w:rPr>
                <w:rFonts w:cs="Arial"/>
                <w:szCs w:val="20"/>
              </w:rPr>
              <w:t xml:space="preserve"> represent hydrodynamic particle diameters</w:t>
            </w:r>
            <w:r w:rsidR="00970BD9">
              <w:rPr>
                <w:rFonts w:cs="Arial"/>
                <w:szCs w:val="20"/>
              </w:rPr>
              <w:t>.</w:t>
            </w:r>
            <w:r w:rsidRPr="00F91668">
              <w:rPr>
                <w:rFonts w:cs="Arial"/>
                <w:szCs w:val="20"/>
              </w:rPr>
              <w:t xml:space="preserve"> </w:t>
            </w:r>
          </w:p>
        </w:tc>
      </w:tr>
    </w:tbl>
    <w:p w14:paraId="4B3DE9E6" w14:textId="77777777" w:rsidR="00F91668" w:rsidRPr="00F91668" w:rsidRDefault="00F91668" w:rsidP="00F91668">
      <w:pPr>
        <w:rPr>
          <w:rFonts w:cs="Arial"/>
          <w:szCs w:val="20"/>
        </w:rPr>
      </w:pPr>
    </w:p>
    <w:p w14:paraId="2142F1E6" w14:textId="3817E496" w:rsidR="00F91668" w:rsidRPr="00F91668" w:rsidRDefault="00F91668" w:rsidP="00F91668">
      <w:pPr>
        <w:pStyle w:val="Heading2"/>
        <w:rPr>
          <w:rFonts w:ascii="Arial" w:hAnsi="Arial" w:cs="Arial"/>
          <w:sz w:val="20"/>
          <w:szCs w:val="20"/>
        </w:rPr>
      </w:pPr>
      <w:r w:rsidRPr="00F91668">
        <w:rPr>
          <w:rFonts w:ascii="Arial" w:hAnsi="Arial" w:cs="Arial"/>
          <w:sz w:val="20"/>
          <w:szCs w:val="20"/>
        </w:rPr>
        <w:t xml:space="preserve">Comment 6 </w:t>
      </w:r>
    </w:p>
    <w:tbl>
      <w:tblPr>
        <w:tblW w:w="0" w:type="auto"/>
        <w:jc w:val="center"/>
        <w:tblLook w:val="04A0" w:firstRow="1" w:lastRow="0" w:firstColumn="1" w:lastColumn="0" w:noHBand="0" w:noVBand="1"/>
      </w:tblPr>
      <w:tblGrid>
        <w:gridCol w:w="10224"/>
      </w:tblGrid>
      <w:tr w:rsidR="00F91668" w:rsidRPr="00F91668" w14:paraId="592AC1BC" w14:textId="77777777" w:rsidTr="00064D28">
        <w:trPr>
          <w:jc w:val="center"/>
        </w:trPr>
        <w:tc>
          <w:tcPr>
            <w:tcW w:w="10224" w:type="dxa"/>
            <w:shd w:val="clear" w:color="auto" w:fill="E7E6E6"/>
            <w:tcMar>
              <w:top w:w="80" w:type="dxa"/>
              <w:left w:w="100" w:type="dxa"/>
              <w:bottom w:w="80" w:type="dxa"/>
              <w:right w:w="100" w:type="dxa"/>
            </w:tcMar>
          </w:tcPr>
          <w:p w14:paraId="2046DA20" w14:textId="77777777" w:rsidR="00F91668" w:rsidRPr="00F91668" w:rsidRDefault="00F91668" w:rsidP="00064D28">
            <w:pPr>
              <w:rPr>
                <w:rFonts w:cs="Arial"/>
                <w:szCs w:val="20"/>
              </w:rPr>
            </w:pPr>
            <w:r w:rsidRPr="00F91668">
              <w:rPr>
                <w:rFonts w:cs="Arial"/>
                <w:b/>
                <w:szCs w:val="20"/>
              </w:rPr>
              <w:t xml:space="preserve">Reviewer comment: </w:t>
            </w:r>
            <w:r w:rsidRPr="00F91668">
              <w:rPr>
                <w:rFonts w:cs="Arial"/>
                <w:szCs w:val="20"/>
              </w:rPr>
              <w:t>Finally, claims regarding scalability should be appropriately framed as preliminary scale-up feasibility rather than validated large-scale production.</w:t>
            </w:r>
          </w:p>
        </w:tc>
      </w:tr>
      <w:tr w:rsidR="00F91668" w:rsidRPr="00F91668" w14:paraId="228FA004" w14:textId="77777777" w:rsidTr="00064D28">
        <w:trPr>
          <w:jc w:val="center"/>
        </w:trPr>
        <w:tc>
          <w:tcPr>
            <w:tcW w:w="10224" w:type="dxa"/>
            <w:shd w:val="clear" w:color="auto" w:fill="FFFFFF"/>
            <w:tcMar>
              <w:top w:w="80" w:type="dxa"/>
              <w:left w:w="100" w:type="dxa"/>
              <w:bottom w:w="80" w:type="dxa"/>
              <w:right w:w="100" w:type="dxa"/>
            </w:tcMar>
          </w:tcPr>
          <w:p w14:paraId="58572768" w14:textId="3A2FDD61" w:rsidR="00F91668" w:rsidRPr="00F91668" w:rsidRDefault="00F91668" w:rsidP="00064D28">
            <w:pPr>
              <w:rPr>
                <w:rFonts w:cs="Arial"/>
                <w:szCs w:val="20"/>
              </w:rPr>
            </w:pPr>
            <w:r w:rsidRPr="00F91668">
              <w:rPr>
                <w:rFonts w:cs="Arial"/>
                <w:b/>
                <w:szCs w:val="20"/>
              </w:rPr>
              <w:t xml:space="preserve">Response: </w:t>
            </w:r>
            <w:r w:rsidRPr="00F91668">
              <w:rPr>
                <w:rFonts w:cs="Arial"/>
                <w:szCs w:val="20"/>
              </w:rPr>
              <w:t xml:space="preserve">The manuscript has been revised throughout to consistently frame the work as a preliminary laboratory-scale scale-up feasibility study. The increase from 0.85 to 48.45 mL is now explicitly described as an approximately 57-fold increase in preparation volume that remains at laboratory scale. </w:t>
            </w:r>
          </w:p>
        </w:tc>
      </w:tr>
    </w:tbl>
    <w:p w14:paraId="30AF0D82" w14:textId="77777777" w:rsidR="00FA2A95" w:rsidRDefault="00FA2A95"/>
    <w:sectPr w:rsidR="00FA2A95" w:rsidSect="00F91668">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668"/>
    <w:rsid w:val="000369EB"/>
    <w:rsid w:val="00101E24"/>
    <w:rsid w:val="00316F61"/>
    <w:rsid w:val="003454F5"/>
    <w:rsid w:val="00434875"/>
    <w:rsid w:val="004710B9"/>
    <w:rsid w:val="00584A2C"/>
    <w:rsid w:val="005E2F92"/>
    <w:rsid w:val="007A7021"/>
    <w:rsid w:val="00851200"/>
    <w:rsid w:val="00970BD9"/>
    <w:rsid w:val="00C06A98"/>
    <w:rsid w:val="00C85F9B"/>
    <w:rsid w:val="00CD3B4D"/>
    <w:rsid w:val="00F91668"/>
    <w:rsid w:val="00FA2A95"/>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EC3FF"/>
  <w15:chartTrackingRefBased/>
  <w15:docId w15:val="{7C237A4C-D307-42F1-8EEB-285C8B38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M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1668"/>
    <w:pPr>
      <w:spacing w:after="100" w:line="276" w:lineRule="auto"/>
    </w:pPr>
    <w:rPr>
      <w:rFonts w:ascii="Arial" w:eastAsiaTheme="minorEastAsia" w:hAnsi="Arial"/>
      <w:kern w:val="0"/>
      <w:sz w:val="20"/>
      <w:lang w:val="en-US"/>
      <w14:ligatures w14:val="none"/>
    </w:rPr>
  </w:style>
  <w:style w:type="paragraph" w:styleId="Heading1">
    <w:name w:val="heading 1"/>
    <w:basedOn w:val="Normal"/>
    <w:next w:val="Normal"/>
    <w:link w:val="Heading1Char"/>
    <w:uiPriority w:val="9"/>
    <w:qFormat/>
    <w:rsid w:val="00F91668"/>
    <w:pPr>
      <w:keepNext/>
      <w:keepLines/>
      <w:spacing w:before="360" w:after="80" w:line="259" w:lineRule="auto"/>
      <w:outlineLvl w:val="0"/>
    </w:pPr>
    <w:rPr>
      <w:rFonts w:asciiTheme="majorHAnsi" w:eastAsiaTheme="majorEastAsia" w:hAnsiTheme="majorHAnsi" w:cstheme="majorBidi"/>
      <w:color w:val="2F5496" w:themeColor="accent1" w:themeShade="BF"/>
      <w:kern w:val="2"/>
      <w:sz w:val="40"/>
      <w:szCs w:val="40"/>
      <w:lang w:val="en-MY"/>
      <w14:ligatures w14:val="standardContextual"/>
    </w:rPr>
  </w:style>
  <w:style w:type="paragraph" w:styleId="Heading2">
    <w:name w:val="heading 2"/>
    <w:basedOn w:val="Normal"/>
    <w:next w:val="Normal"/>
    <w:link w:val="Heading2Char"/>
    <w:uiPriority w:val="9"/>
    <w:unhideWhenUsed/>
    <w:qFormat/>
    <w:rsid w:val="00F91668"/>
    <w:pPr>
      <w:keepNext/>
      <w:keepLines/>
      <w:spacing w:before="160" w:after="80" w:line="259" w:lineRule="auto"/>
      <w:outlineLvl w:val="1"/>
    </w:pPr>
    <w:rPr>
      <w:rFonts w:asciiTheme="majorHAnsi" w:eastAsiaTheme="majorEastAsia" w:hAnsiTheme="majorHAnsi" w:cstheme="majorBidi"/>
      <w:color w:val="2F5496" w:themeColor="accent1" w:themeShade="BF"/>
      <w:kern w:val="2"/>
      <w:sz w:val="32"/>
      <w:szCs w:val="32"/>
      <w:lang w:val="en-MY"/>
      <w14:ligatures w14:val="standardContextual"/>
    </w:rPr>
  </w:style>
  <w:style w:type="paragraph" w:styleId="Heading3">
    <w:name w:val="heading 3"/>
    <w:basedOn w:val="Normal"/>
    <w:next w:val="Normal"/>
    <w:link w:val="Heading3Char"/>
    <w:uiPriority w:val="9"/>
    <w:semiHidden/>
    <w:unhideWhenUsed/>
    <w:qFormat/>
    <w:rsid w:val="00F91668"/>
    <w:pPr>
      <w:keepNext/>
      <w:keepLines/>
      <w:spacing w:before="160" w:after="80" w:line="259" w:lineRule="auto"/>
      <w:outlineLvl w:val="2"/>
    </w:pPr>
    <w:rPr>
      <w:rFonts w:asciiTheme="minorHAnsi" w:eastAsiaTheme="majorEastAsia" w:hAnsiTheme="minorHAnsi" w:cstheme="majorBidi"/>
      <w:color w:val="2F5496" w:themeColor="accent1" w:themeShade="BF"/>
      <w:kern w:val="2"/>
      <w:sz w:val="28"/>
      <w:szCs w:val="28"/>
      <w:lang w:val="en-MY"/>
      <w14:ligatures w14:val="standardContextual"/>
    </w:rPr>
  </w:style>
  <w:style w:type="paragraph" w:styleId="Heading4">
    <w:name w:val="heading 4"/>
    <w:basedOn w:val="Normal"/>
    <w:next w:val="Normal"/>
    <w:link w:val="Heading4Char"/>
    <w:uiPriority w:val="9"/>
    <w:semiHidden/>
    <w:unhideWhenUsed/>
    <w:qFormat/>
    <w:rsid w:val="00F91668"/>
    <w:pPr>
      <w:keepNext/>
      <w:keepLines/>
      <w:spacing w:before="80" w:after="40" w:line="259" w:lineRule="auto"/>
      <w:outlineLvl w:val="3"/>
    </w:pPr>
    <w:rPr>
      <w:rFonts w:asciiTheme="minorHAnsi" w:eastAsiaTheme="majorEastAsia" w:hAnsiTheme="minorHAnsi" w:cstheme="majorBidi"/>
      <w:i/>
      <w:iCs/>
      <w:color w:val="2F5496" w:themeColor="accent1" w:themeShade="BF"/>
      <w:kern w:val="2"/>
      <w:sz w:val="22"/>
      <w:lang w:val="en-MY"/>
      <w14:ligatures w14:val="standardContextual"/>
    </w:rPr>
  </w:style>
  <w:style w:type="paragraph" w:styleId="Heading5">
    <w:name w:val="heading 5"/>
    <w:basedOn w:val="Normal"/>
    <w:next w:val="Normal"/>
    <w:link w:val="Heading5Char"/>
    <w:uiPriority w:val="9"/>
    <w:semiHidden/>
    <w:unhideWhenUsed/>
    <w:qFormat/>
    <w:rsid w:val="00F91668"/>
    <w:pPr>
      <w:keepNext/>
      <w:keepLines/>
      <w:spacing w:before="80" w:after="40" w:line="259" w:lineRule="auto"/>
      <w:outlineLvl w:val="4"/>
    </w:pPr>
    <w:rPr>
      <w:rFonts w:asciiTheme="minorHAnsi" w:eastAsiaTheme="majorEastAsia" w:hAnsiTheme="minorHAnsi" w:cstheme="majorBidi"/>
      <w:color w:val="2F5496" w:themeColor="accent1" w:themeShade="BF"/>
      <w:kern w:val="2"/>
      <w:sz w:val="22"/>
      <w:lang w:val="en-MY"/>
      <w14:ligatures w14:val="standardContextual"/>
    </w:rPr>
  </w:style>
  <w:style w:type="paragraph" w:styleId="Heading6">
    <w:name w:val="heading 6"/>
    <w:basedOn w:val="Normal"/>
    <w:next w:val="Normal"/>
    <w:link w:val="Heading6Char"/>
    <w:uiPriority w:val="9"/>
    <w:semiHidden/>
    <w:unhideWhenUsed/>
    <w:qFormat/>
    <w:rsid w:val="00F91668"/>
    <w:pPr>
      <w:keepNext/>
      <w:keepLines/>
      <w:spacing w:before="40" w:after="0" w:line="259" w:lineRule="auto"/>
      <w:outlineLvl w:val="5"/>
    </w:pPr>
    <w:rPr>
      <w:rFonts w:asciiTheme="minorHAnsi" w:eastAsiaTheme="majorEastAsia" w:hAnsiTheme="minorHAnsi" w:cstheme="majorBidi"/>
      <w:i/>
      <w:iCs/>
      <w:color w:val="595959" w:themeColor="text1" w:themeTint="A6"/>
      <w:kern w:val="2"/>
      <w:sz w:val="22"/>
      <w:lang w:val="en-MY"/>
      <w14:ligatures w14:val="standardContextual"/>
    </w:rPr>
  </w:style>
  <w:style w:type="paragraph" w:styleId="Heading7">
    <w:name w:val="heading 7"/>
    <w:basedOn w:val="Normal"/>
    <w:next w:val="Normal"/>
    <w:link w:val="Heading7Char"/>
    <w:uiPriority w:val="9"/>
    <w:semiHidden/>
    <w:unhideWhenUsed/>
    <w:qFormat/>
    <w:rsid w:val="00F91668"/>
    <w:pPr>
      <w:keepNext/>
      <w:keepLines/>
      <w:spacing w:before="40" w:after="0" w:line="259" w:lineRule="auto"/>
      <w:outlineLvl w:val="6"/>
    </w:pPr>
    <w:rPr>
      <w:rFonts w:asciiTheme="minorHAnsi" w:eastAsiaTheme="majorEastAsia" w:hAnsiTheme="minorHAnsi" w:cstheme="majorBidi"/>
      <w:color w:val="595959" w:themeColor="text1" w:themeTint="A6"/>
      <w:kern w:val="2"/>
      <w:sz w:val="22"/>
      <w:lang w:val="en-MY"/>
      <w14:ligatures w14:val="standardContextual"/>
    </w:rPr>
  </w:style>
  <w:style w:type="paragraph" w:styleId="Heading8">
    <w:name w:val="heading 8"/>
    <w:basedOn w:val="Normal"/>
    <w:next w:val="Normal"/>
    <w:link w:val="Heading8Char"/>
    <w:uiPriority w:val="9"/>
    <w:semiHidden/>
    <w:unhideWhenUsed/>
    <w:qFormat/>
    <w:rsid w:val="00F91668"/>
    <w:pPr>
      <w:keepNext/>
      <w:keepLines/>
      <w:spacing w:after="0" w:line="259" w:lineRule="auto"/>
      <w:outlineLvl w:val="7"/>
    </w:pPr>
    <w:rPr>
      <w:rFonts w:asciiTheme="minorHAnsi" w:eastAsiaTheme="majorEastAsia" w:hAnsiTheme="minorHAnsi" w:cstheme="majorBidi"/>
      <w:i/>
      <w:iCs/>
      <w:color w:val="272727" w:themeColor="text1" w:themeTint="D8"/>
      <w:kern w:val="2"/>
      <w:sz w:val="22"/>
      <w:lang w:val="en-MY"/>
      <w14:ligatures w14:val="standardContextual"/>
    </w:rPr>
  </w:style>
  <w:style w:type="paragraph" w:styleId="Heading9">
    <w:name w:val="heading 9"/>
    <w:basedOn w:val="Normal"/>
    <w:next w:val="Normal"/>
    <w:link w:val="Heading9Char"/>
    <w:uiPriority w:val="9"/>
    <w:semiHidden/>
    <w:unhideWhenUsed/>
    <w:qFormat/>
    <w:rsid w:val="00F91668"/>
    <w:pPr>
      <w:keepNext/>
      <w:keepLines/>
      <w:spacing w:after="0" w:line="259" w:lineRule="auto"/>
      <w:outlineLvl w:val="8"/>
    </w:pPr>
    <w:rPr>
      <w:rFonts w:asciiTheme="minorHAnsi" w:eastAsiaTheme="majorEastAsia" w:hAnsiTheme="minorHAnsi" w:cstheme="majorBidi"/>
      <w:color w:val="272727" w:themeColor="text1" w:themeTint="D8"/>
      <w:kern w:val="2"/>
      <w:sz w:val="22"/>
      <w:lang w:val="en-MY"/>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166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F9166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9166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9166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9166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9166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9166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9166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91668"/>
    <w:rPr>
      <w:rFonts w:eastAsiaTheme="majorEastAsia" w:cstheme="majorBidi"/>
      <w:color w:val="272727" w:themeColor="text1" w:themeTint="D8"/>
    </w:rPr>
  </w:style>
  <w:style w:type="paragraph" w:styleId="Title">
    <w:name w:val="Title"/>
    <w:basedOn w:val="Normal"/>
    <w:next w:val="Normal"/>
    <w:link w:val="TitleChar"/>
    <w:uiPriority w:val="10"/>
    <w:qFormat/>
    <w:rsid w:val="00F91668"/>
    <w:pPr>
      <w:spacing w:after="80" w:line="240" w:lineRule="auto"/>
      <w:contextualSpacing/>
    </w:pPr>
    <w:rPr>
      <w:rFonts w:asciiTheme="majorHAnsi" w:eastAsiaTheme="majorEastAsia" w:hAnsiTheme="majorHAnsi" w:cstheme="majorBidi"/>
      <w:spacing w:val="-10"/>
      <w:kern w:val="28"/>
      <w:sz w:val="56"/>
      <w:szCs w:val="56"/>
      <w:lang w:val="en-MY"/>
      <w14:ligatures w14:val="standardContextual"/>
    </w:rPr>
  </w:style>
  <w:style w:type="character" w:customStyle="1" w:styleId="TitleChar">
    <w:name w:val="Title Char"/>
    <w:basedOn w:val="DefaultParagraphFont"/>
    <w:link w:val="Title"/>
    <w:uiPriority w:val="10"/>
    <w:rsid w:val="00F9166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91668"/>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val="en-MY"/>
      <w14:ligatures w14:val="standardContextual"/>
    </w:rPr>
  </w:style>
  <w:style w:type="character" w:customStyle="1" w:styleId="SubtitleChar">
    <w:name w:val="Subtitle Char"/>
    <w:basedOn w:val="DefaultParagraphFont"/>
    <w:link w:val="Subtitle"/>
    <w:uiPriority w:val="11"/>
    <w:rsid w:val="00F9166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91668"/>
    <w:pPr>
      <w:spacing w:before="160" w:after="160" w:line="259" w:lineRule="auto"/>
      <w:jc w:val="center"/>
    </w:pPr>
    <w:rPr>
      <w:rFonts w:asciiTheme="minorHAnsi" w:eastAsiaTheme="minorHAnsi" w:hAnsiTheme="minorHAnsi"/>
      <w:i/>
      <w:iCs/>
      <w:color w:val="404040" w:themeColor="text1" w:themeTint="BF"/>
      <w:kern w:val="2"/>
      <w:sz w:val="22"/>
      <w:lang w:val="en-MY"/>
      <w14:ligatures w14:val="standardContextual"/>
    </w:rPr>
  </w:style>
  <w:style w:type="character" w:customStyle="1" w:styleId="QuoteChar">
    <w:name w:val="Quote Char"/>
    <w:basedOn w:val="DefaultParagraphFont"/>
    <w:link w:val="Quote"/>
    <w:uiPriority w:val="29"/>
    <w:rsid w:val="00F91668"/>
    <w:rPr>
      <w:i/>
      <w:iCs/>
      <w:color w:val="404040" w:themeColor="text1" w:themeTint="BF"/>
    </w:rPr>
  </w:style>
  <w:style w:type="paragraph" w:styleId="ListParagraph">
    <w:name w:val="List Paragraph"/>
    <w:basedOn w:val="Normal"/>
    <w:uiPriority w:val="34"/>
    <w:qFormat/>
    <w:rsid w:val="00F91668"/>
    <w:pPr>
      <w:spacing w:after="160" w:line="259" w:lineRule="auto"/>
      <w:ind w:left="720"/>
      <w:contextualSpacing/>
    </w:pPr>
    <w:rPr>
      <w:rFonts w:asciiTheme="minorHAnsi" w:eastAsiaTheme="minorHAnsi" w:hAnsiTheme="minorHAnsi"/>
      <w:kern w:val="2"/>
      <w:sz w:val="22"/>
      <w:lang w:val="en-MY"/>
      <w14:ligatures w14:val="standardContextual"/>
    </w:rPr>
  </w:style>
  <w:style w:type="character" w:styleId="IntenseEmphasis">
    <w:name w:val="Intense Emphasis"/>
    <w:basedOn w:val="DefaultParagraphFont"/>
    <w:uiPriority w:val="21"/>
    <w:qFormat/>
    <w:rsid w:val="00F91668"/>
    <w:rPr>
      <w:i/>
      <w:iCs/>
      <w:color w:val="2F5496" w:themeColor="accent1" w:themeShade="BF"/>
    </w:rPr>
  </w:style>
  <w:style w:type="paragraph" w:styleId="IntenseQuote">
    <w:name w:val="Intense Quote"/>
    <w:basedOn w:val="Normal"/>
    <w:next w:val="Normal"/>
    <w:link w:val="IntenseQuoteChar"/>
    <w:uiPriority w:val="30"/>
    <w:qFormat/>
    <w:rsid w:val="00F9166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Theme="minorHAnsi" w:eastAsiaTheme="minorHAnsi" w:hAnsiTheme="minorHAnsi"/>
      <w:i/>
      <w:iCs/>
      <w:color w:val="2F5496" w:themeColor="accent1" w:themeShade="BF"/>
      <w:kern w:val="2"/>
      <w:sz w:val="22"/>
      <w:lang w:val="en-MY"/>
      <w14:ligatures w14:val="standardContextual"/>
    </w:rPr>
  </w:style>
  <w:style w:type="character" w:customStyle="1" w:styleId="IntenseQuoteChar">
    <w:name w:val="Intense Quote Char"/>
    <w:basedOn w:val="DefaultParagraphFont"/>
    <w:link w:val="IntenseQuote"/>
    <w:uiPriority w:val="30"/>
    <w:rsid w:val="00F91668"/>
    <w:rPr>
      <w:i/>
      <w:iCs/>
      <w:color w:val="2F5496" w:themeColor="accent1" w:themeShade="BF"/>
    </w:rPr>
  </w:style>
  <w:style w:type="character" w:styleId="IntenseReference">
    <w:name w:val="Intense Reference"/>
    <w:basedOn w:val="DefaultParagraphFont"/>
    <w:uiPriority w:val="32"/>
    <w:qFormat/>
    <w:rsid w:val="00F91668"/>
    <w:rPr>
      <w:b/>
      <w:bCs/>
      <w:smallCaps/>
      <w:color w:val="2F5496" w:themeColor="accent1" w:themeShade="BF"/>
      <w:spacing w:val="5"/>
    </w:rPr>
  </w:style>
  <w:style w:type="paragraph" w:customStyle="1" w:styleId="papertitle">
    <w:name w:val="papertitle"/>
    <w:basedOn w:val="Normal"/>
    <w:next w:val="Normal"/>
    <w:rsid w:val="00F91668"/>
    <w:pPr>
      <w:keepNext/>
      <w:keepLines/>
      <w:suppressAutoHyphens/>
      <w:overflowPunct w:val="0"/>
      <w:autoSpaceDE w:val="0"/>
      <w:autoSpaceDN w:val="0"/>
      <w:adjustRightInd w:val="0"/>
      <w:spacing w:after="480" w:line="360" w:lineRule="atLeast"/>
      <w:jc w:val="center"/>
      <w:textAlignment w:val="baseline"/>
    </w:pPr>
    <w:rPr>
      <w:rFonts w:ascii="Times New Roman" w:eastAsia="Times New Roman" w:hAnsi="Times New Roman" w:cs="Times New Roman"/>
      <w:b/>
      <w:sz w:val="2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106</TotalTime>
  <Pages>3</Pages>
  <Words>1500</Words>
  <Characters>8550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Nur Sabrina Wahid</dc:creator>
  <cp:keywords/>
  <dc:description/>
  <cp:lastModifiedBy>Nur Sabrina Wahid</cp:lastModifiedBy>
  <cp:revision>6</cp:revision>
  <dcterms:created xsi:type="dcterms:W3CDTF">2026-09-08T05:30:00Z</dcterms:created>
  <dcterms:modified xsi:type="dcterms:W3CDTF">2026-09-08T12:38:00Z</dcterms:modified>
</cp:coreProperties>
</file>