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DF403" w14:textId="77777777" w:rsidR="006C0851" w:rsidRPr="00AE00EB" w:rsidRDefault="006C0851" w:rsidP="006C0851">
      <w:pPr>
        <w:spacing w:after="0" w:line="360" w:lineRule="auto"/>
        <w:contextualSpacing/>
        <w:rPr>
          <w:rFonts w:ascii="Times New Roman" w:hAnsi="Times New Roman" w:cs="Times New Roman"/>
          <w:b/>
          <w:color w:val="000000" w:themeColor="text1"/>
          <w:szCs w:val="24"/>
        </w:rPr>
      </w:pPr>
      <w:r w:rsidRPr="00AE00EB">
        <w:rPr>
          <w:rFonts w:ascii="Times New Roman" w:hAnsi="Times New Roman" w:cs="Times New Roman"/>
          <w:b/>
          <w:color w:val="000000" w:themeColor="text1"/>
          <w:szCs w:val="24"/>
        </w:rPr>
        <w:t>Responses to the reviewer’s comments</w:t>
      </w:r>
    </w:p>
    <w:p w14:paraId="5146FC8B" w14:textId="0C4330EF" w:rsidR="006C0851" w:rsidRPr="00AE00EB" w:rsidRDefault="006C0851" w:rsidP="006C0851">
      <w:pPr>
        <w:spacing w:after="0" w:line="240" w:lineRule="auto"/>
        <w:ind w:firstLine="450"/>
        <w:contextualSpacing/>
        <w:jc w:val="both"/>
        <w:rPr>
          <w:rFonts w:ascii="Times New Roman" w:hAnsi="Times New Roman" w:cs="Times New Roman"/>
          <w:szCs w:val="24"/>
        </w:rPr>
      </w:pPr>
      <w:r w:rsidRPr="00AE00EB">
        <w:rPr>
          <w:rFonts w:ascii="Times New Roman" w:hAnsi="Times New Roman" w:cs="Times New Roman"/>
          <w:szCs w:val="24"/>
        </w:rPr>
        <w:t xml:space="preserve">We </w:t>
      </w:r>
      <w:r w:rsidR="00BD2D91" w:rsidRPr="00AE00EB">
        <w:rPr>
          <w:rFonts w:ascii="Times New Roman" w:hAnsi="Times New Roman" w:cs="Times New Roman"/>
          <w:szCs w:val="24"/>
        </w:rPr>
        <w:t>are deeply grateful to the reviewers for their thoughtful and constructive feedback, which significantly strengthened this manuscript. We have carefully updated the paper to address all suggestions. Below, you will find the reviewers' comments alongside our detailed replies. Our responses are marked in blue, and the corresponding changes in the revised manuscript are highlighted in yellow.</w:t>
      </w:r>
    </w:p>
    <w:p w14:paraId="05027E8F" w14:textId="77777777" w:rsidR="006C0851" w:rsidRPr="00AE00EB" w:rsidRDefault="006C0851" w:rsidP="009879B3">
      <w:pPr>
        <w:spacing w:after="0" w:line="240" w:lineRule="auto"/>
        <w:rPr>
          <w:rFonts w:ascii="Times New Roman" w:hAnsi="Times New Roman" w:cs="Times New Roman"/>
          <w:b/>
          <w:bCs/>
          <w:szCs w:val="24"/>
        </w:rPr>
      </w:pPr>
    </w:p>
    <w:p w14:paraId="7FDFA1CC" w14:textId="1D8150B9" w:rsidR="009879B3" w:rsidRPr="00AE00EB" w:rsidRDefault="009879B3" w:rsidP="009879B3">
      <w:pPr>
        <w:spacing w:after="0" w:line="240" w:lineRule="auto"/>
        <w:rPr>
          <w:rFonts w:ascii="Times New Roman" w:hAnsi="Times New Roman" w:cs="Times New Roman"/>
          <w:b/>
          <w:bCs/>
          <w:szCs w:val="24"/>
        </w:rPr>
      </w:pPr>
      <w:r w:rsidRPr="00AE00EB">
        <w:rPr>
          <w:rFonts w:ascii="Times New Roman" w:hAnsi="Times New Roman" w:cs="Times New Roman"/>
          <w:b/>
          <w:bCs/>
          <w:szCs w:val="24"/>
        </w:rPr>
        <w:t>Reviewer 1</w:t>
      </w:r>
    </w:p>
    <w:p w14:paraId="3B304E1C" w14:textId="22524545" w:rsidR="00BD2D91" w:rsidRPr="00AE00EB" w:rsidRDefault="009879B3" w:rsidP="0032539B">
      <w:pPr>
        <w:spacing w:after="0" w:line="240" w:lineRule="auto"/>
        <w:rPr>
          <w:rFonts w:ascii="Times New Roman" w:hAnsi="Times New Roman" w:cs="Times New Roman"/>
          <w:b/>
          <w:bCs/>
          <w:szCs w:val="24"/>
        </w:rPr>
      </w:pPr>
      <w:r w:rsidRPr="00AE00EB">
        <w:rPr>
          <w:rFonts w:ascii="Times New Roman" w:hAnsi="Times New Roman" w:cs="Times New Roman"/>
          <w:b/>
          <w:bCs/>
          <w:szCs w:val="24"/>
        </w:rPr>
        <w:t>Comments</w:t>
      </w:r>
    </w:p>
    <w:p w14:paraId="47316083" w14:textId="77777777" w:rsidR="00BD2D91" w:rsidRPr="00AE00EB" w:rsidRDefault="00BD2D91" w:rsidP="00BD2D91">
      <w:pPr>
        <w:spacing w:after="0" w:line="240" w:lineRule="auto"/>
        <w:jc w:val="both"/>
        <w:rPr>
          <w:rFonts w:ascii="Times New Roman" w:hAnsi="Times New Roman" w:cs="Times New Roman"/>
          <w:szCs w:val="24"/>
        </w:rPr>
      </w:pPr>
      <w:r w:rsidRPr="00AE00EB">
        <w:rPr>
          <w:rFonts w:ascii="Times New Roman" w:hAnsi="Times New Roman" w:cs="Times New Roman"/>
          <w:szCs w:val="24"/>
        </w:rPr>
        <w:t>The manuscript presents a relevant DFT-based comparative investigation of four nanocage structures as potential anode materials for lithium-ion batteries. The comparative approach is useful, and the combination of adsorption energy, electronic properties, and theoretical voltage provides a reasonable basis for preliminary computational screening. The manuscript is suitable for conference proceedings after the following revisions:</w:t>
      </w:r>
    </w:p>
    <w:p w14:paraId="6135068E" w14:textId="77777777" w:rsidR="00BD2D91" w:rsidRPr="00AE00EB" w:rsidRDefault="00BD2D91" w:rsidP="00BD2D91">
      <w:pPr>
        <w:spacing w:after="0" w:line="240" w:lineRule="auto"/>
        <w:jc w:val="both"/>
        <w:rPr>
          <w:rFonts w:ascii="Times New Roman" w:hAnsi="Times New Roman" w:cs="Times New Roman"/>
          <w:szCs w:val="24"/>
        </w:rPr>
      </w:pPr>
    </w:p>
    <w:p w14:paraId="7AB69D1E" w14:textId="77777777" w:rsidR="00BD2D91" w:rsidRPr="00AE00EB" w:rsidRDefault="00BD2D91" w:rsidP="00BD2D91">
      <w:pPr>
        <w:spacing w:after="0" w:line="240" w:lineRule="auto"/>
        <w:jc w:val="both"/>
        <w:rPr>
          <w:rFonts w:ascii="Times New Roman" w:hAnsi="Times New Roman" w:cs="Times New Roman"/>
          <w:b/>
          <w:bCs/>
          <w:szCs w:val="24"/>
        </w:rPr>
      </w:pPr>
      <w:r w:rsidRPr="00AE00EB">
        <w:rPr>
          <w:rFonts w:ascii="Times New Roman" w:hAnsi="Times New Roman" w:cs="Times New Roman"/>
          <w:b/>
          <w:bCs/>
          <w:szCs w:val="24"/>
        </w:rPr>
        <w:t>Reviewer Comment point-1:</w:t>
      </w:r>
    </w:p>
    <w:p w14:paraId="229D49B4" w14:textId="57943F46" w:rsidR="009879B3" w:rsidRPr="00AE00EB" w:rsidRDefault="00BD2D91" w:rsidP="00BD2D91">
      <w:pPr>
        <w:spacing w:after="0" w:line="240" w:lineRule="auto"/>
        <w:jc w:val="both"/>
        <w:rPr>
          <w:rFonts w:ascii="Times New Roman" w:hAnsi="Times New Roman" w:cs="Times New Roman"/>
          <w:szCs w:val="24"/>
        </w:rPr>
      </w:pPr>
      <w:r w:rsidRPr="00AE00EB">
        <w:rPr>
          <w:rFonts w:ascii="Times New Roman" w:hAnsi="Times New Roman" w:cs="Times New Roman"/>
          <w:szCs w:val="24"/>
        </w:rPr>
        <w:t>The novelty and specific contribution should be stated more explicitly at the end of the Introduction. The manuscript discusses previous applications of these nanocages, but the authors should clearly identify what is new about simultaneously comparing C24, B12N12, Be12O12, and Al12P12 for LIB anode screening using the selected descriptors.</w:t>
      </w:r>
    </w:p>
    <w:p w14:paraId="7BEDAE91" w14:textId="77777777" w:rsidR="009879B3" w:rsidRPr="00AE00EB" w:rsidRDefault="009879B3" w:rsidP="00704293">
      <w:pPr>
        <w:spacing w:after="0" w:line="240" w:lineRule="auto"/>
        <w:rPr>
          <w:rFonts w:ascii="Times New Roman" w:hAnsi="Times New Roman" w:cs="Times New Roman"/>
          <w:b/>
          <w:bCs/>
          <w:szCs w:val="24"/>
        </w:rPr>
      </w:pPr>
    </w:p>
    <w:p w14:paraId="09766DEA" w14:textId="77777777" w:rsidR="005C0B4F" w:rsidRPr="00AE00EB" w:rsidRDefault="005C0B4F" w:rsidP="005C0B4F">
      <w:pPr>
        <w:spacing w:after="0" w:line="240" w:lineRule="auto"/>
        <w:jc w:val="both"/>
        <w:rPr>
          <w:rFonts w:ascii="Times New Roman" w:hAnsi="Times New Roman" w:cs="Times New Roman"/>
          <w:b/>
          <w:bCs/>
          <w:color w:val="0000FF"/>
          <w:szCs w:val="24"/>
        </w:rPr>
      </w:pPr>
      <w:r w:rsidRPr="00AE00EB">
        <w:rPr>
          <w:rFonts w:ascii="Times New Roman" w:hAnsi="Times New Roman" w:cs="Times New Roman"/>
          <w:b/>
          <w:bCs/>
          <w:color w:val="0000FF"/>
          <w:szCs w:val="24"/>
        </w:rPr>
        <w:t>Response to Reviewer</w:t>
      </w:r>
    </w:p>
    <w:p w14:paraId="35B1A64C" w14:textId="4A496AB3" w:rsidR="00BD2D91" w:rsidRPr="00AE00EB" w:rsidRDefault="005C0B4F" w:rsidP="00BD2D91">
      <w:pPr>
        <w:spacing w:after="0" w:line="240" w:lineRule="auto"/>
        <w:ind w:firstLine="720"/>
        <w:jc w:val="both"/>
        <w:rPr>
          <w:rFonts w:ascii="Times New Roman" w:hAnsi="Times New Roman" w:cs="Times New Roman"/>
          <w:color w:val="0000FF"/>
          <w:szCs w:val="24"/>
        </w:rPr>
      </w:pPr>
      <w:r w:rsidRPr="00AE00EB">
        <w:rPr>
          <w:rFonts w:ascii="Times New Roman" w:hAnsi="Times New Roman" w:cs="Times New Roman"/>
          <w:color w:val="0000FF"/>
          <w:szCs w:val="24"/>
        </w:rPr>
        <w:t xml:space="preserve">We </w:t>
      </w:r>
      <w:r w:rsidR="00BD2D91" w:rsidRPr="00AE00EB">
        <w:rPr>
          <w:rFonts w:ascii="Times New Roman" w:hAnsi="Times New Roman" w:cs="Times New Roman"/>
          <w:color w:val="0000FF"/>
          <w:szCs w:val="24"/>
        </w:rPr>
        <w:t>thank the reviewer for this helpful comment. While our original manuscript outlined the rationale for selecting these four distinct material classes, we agree that the specific novelty—performing a direct, systematic comparative screening of C24, B12N12, Be12O12, and Al12P12 for lithium-ion battery anode applications—should be emphasized more explicitly.</w:t>
      </w:r>
    </w:p>
    <w:p w14:paraId="1F636CC5" w14:textId="7B458A3F" w:rsidR="005C0B4F" w:rsidRPr="00AE00EB" w:rsidRDefault="00BD2D91" w:rsidP="00BD2D91">
      <w:pPr>
        <w:spacing w:after="0" w:line="240" w:lineRule="auto"/>
        <w:ind w:firstLine="720"/>
        <w:jc w:val="both"/>
        <w:rPr>
          <w:rFonts w:ascii="Times New Roman" w:hAnsi="Times New Roman" w:cs="Times New Roman"/>
          <w:color w:val="0000FF"/>
          <w:szCs w:val="24"/>
        </w:rPr>
      </w:pPr>
      <w:r w:rsidRPr="00AE00EB">
        <w:rPr>
          <w:rFonts w:ascii="Times New Roman" w:hAnsi="Times New Roman" w:cs="Times New Roman"/>
          <w:color w:val="0000FF"/>
          <w:szCs w:val="24"/>
        </w:rPr>
        <w:t>To address this, we have revised the final paragraph of the Introduction to clearly state our specific contribution and clarify that, although individual nanocages have been studied separately, a unified comparative evaluation using these specific descriptors is lacking in the literature.</w:t>
      </w:r>
    </w:p>
    <w:p w14:paraId="7878F2A7" w14:textId="77777777" w:rsidR="00BD2D91" w:rsidRPr="00AE00EB" w:rsidRDefault="00BD2D91" w:rsidP="00BD2D91">
      <w:pPr>
        <w:spacing w:after="0" w:line="240" w:lineRule="auto"/>
        <w:ind w:firstLine="720"/>
        <w:jc w:val="both"/>
        <w:rPr>
          <w:rFonts w:ascii="Times New Roman" w:hAnsi="Times New Roman" w:cs="Times New Roman"/>
          <w:color w:val="0000FF"/>
          <w:szCs w:val="24"/>
        </w:rPr>
      </w:pPr>
    </w:p>
    <w:p w14:paraId="1793CB47" w14:textId="0977DA14" w:rsidR="00BD2D91" w:rsidRPr="00AE00EB" w:rsidRDefault="00BD2D91" w:rsidP="00BD2D91">
      <w:pPr>
        <w:spacing w:after="0" w:line="240" w:lineRule="auto"/>
        <w:jc w:val="both"/>
        <w:rPr>
          <w:rFonts w:ascii="Times New Roman" w:hAnsi="Times New Roman" w:cs="Times New Roman"/>
          <w:color w:val="0000FF"/>
          <w:szCs w:val="24"/>
        </w:rPr>
      </w:pPr>
      <w:r w:rsidRPr="00AE00EB">
        <w:rPr>
          <w:rFonts w:ascii="Times New Roman" w:hAnsi="Times New Roman" w:cs="Times New Roman"/>
          <w:color w:val="0000FF"/>
          <w:szCs w:val="24"/>
        </w:rPr>
        <w:t>[Page 2: Line 19-30]</w:t>
      </w:r>
    </w:p>
    <w:p w14:paraId="24D832D3" w14:textId="77777777" w:rsidR="00A50A2B" w:rsidRPr="00546143" w:rsidRDefault="00A50A2B" w:rsidP="00A50A2B">
      <w:pPr>
        <w:spacing w:line="276" w:lineRule="auto"/>
        <w:ind w:firstLine="567"/>
        <w:rPr>
          <w:rFonts w:ascii="Times New Roman" w:eastAsia="Times New Roman" w:hAnsi="Times New Roman" w:cs="Times New Roman"/>
          <w:szCs w:val="24"/>
          <w:lang w:val="id-ID" w:eastAsia="id-ID"/>
        </w:rPr>
      </w:pPr>
      <w:r w:rsidRPr="00CA719A">
        <w:rPr>
          <w:rFonts w:ascii="Times New Roman" w:eastAsia="Times New Roman" w:hAnsi="Times New Roman" w:cs="Times New Roman"/>
          <w:szCs w:val="24"/>
          <w:highlight w:val="yellow"/>
          <w:lang w:val="id-ID" w:eastAsia="id-ID"/>
        </w:rPr>
        <w:t>Besides structural engineering, selecting suitable nanocage materials is equally important for maximizing battery performance. Carbon (C</w:t>
      </w:r>
      <w:r w:rsidRPr="00CA719A">
        <w:rPr>
          <w:rFonts w:ascii="Times New Roman" w:eastAsia="Times New Roman" w:hAnsi="Times New Roman" w:cs="Times New Roman"/>
          <w:szCs w:val="24"/>
          <w:highlight w:val="yellow"/>
          <w:vertAlign w:val="subscript"/>
          <w:lang w:val="id-ID" w:eastAsia="id-ID"/>
        </w:rPr>
        <w:t>24</w:t>
      </w:r>
      <w:r w:rsidRPr="00CA719A">
        <w:rPr>
          <w:rFonts w:ascii="Times New Roman" w:eastAsia="Times New Roman" w:hAnsi="Times New Roman" w:cs="Times New Roman"/>
          <w:szCs w:val="24"/>
          <w:highlight w:val="yellow"/>
          <w:lang w:val="id-ID" w:eastAsia="id-ID"/>
        </w:rPr>
        <w:t>), boron nitride (</w:t>
      </w:r>
      <w:r w:rsidRPr="00CA719A">
        <w:rPr>
          <w:rFonts w:ascii="Times New Roman" w:hAnsi="Times New Roman" w:cs="Times New Roman"/>
          <w:szCs w:val="24"/>
          <w:highlight w:val="yellow"/>
        </w:rPr>
        <w:t>B</w:t>
      </w:r>
      <w:r w:rsidRPr="00CA719A">
        <w:rPr>
          <w:rFonts w:ascii="Times New Roman" w:eastAsia="Times New Roman" w:hAnsi="Times New Roman" w:cs="Times New Roman"/>
          <w:szCs w:val="24"/>
          <w:highlight w:val="yellow"/>
          <w:vertAlign w:val="subscript"/>
          <w:lang w:val="id-ID" w:eastAsia="id-ID"/>
        </w:rPr>
        <w:t>12</w:t>
      </w:r>
      <w:r w:rsidRPr="00CA719A">
        <w:rPr>
          <w:rFonts w:ascii="Times New Roman" w:hAnsi="Times New Roman" w:cs="Times New Roman"/>
          <w:szCs w:val="24"/>
          <w:highlight w:val="yellow"/>
        </w:rPr>
        <w:t>N</w:t>
      </w:r>
      <w:r w:rsidRPr="00CA719A">
        <w:rPr>
          <w:rFonts w:ascii="Times New Roman" w:eastAsia="Times New Roman" w:hAnsi="Times New Roman" w:cs="Times New Roman"/>
          <w:szCs w:val="24"/>
          <w:highlight w:val="yellow"/>
          <w:vertAlign w:val="subscript"/>
          <w:lang w:val="id-ID" w:eastAsia="id-ID"/>
        </w:rPr>
        <w:t>12</w:t>
      </w:r>
      <w:r w:rsidRPr="00CA719A">
        <w:rPr>
          <w:rFonts w:ascii="Times New Roman" w:eastAsia="Times New Roman" w:hAnsi="Times New Roman" w:cs="Times New Roman"/>
          <w:szCs w:val="24"/>
          <w:highlight w:val="yellow"/>
          <w:lang w:val="id-ID" w:eastAsia="id-ID"/>
        </w:rPr>
        <w:t>), beryllium oxide (Be</w:t>
      </w:r>
      <w:r w:rsidRPr="00CA719A">
        <w:rPr>
          <w:rFonts w:ascii="Times New Roman" w:eastAsia="Times New Roman" w:hAnsi="Times New Roman" w:cs="Times New Roman"/>
          <w:szCs w:val="24"/>
          <w:highlight w:val="yellow"/>
          <w:vertAlign w:val="subscript"/>
          <w:lang w:val="id-ID" w:eastAsia="id-ID"/>
        </w:rPr>
        <w:t>12</w:t>
      </w:r>
      <w:r w:rsidRPr="00CA719A">
        <w:rPr>
          <w:rFonts w:ascii="Times New Roman" w:eastAsia="Times New Roman" w:hAnsi="Times New Roman" w:cs="Times New Roman"/>
          <w:szCs w:val="24"/>
          <w:highlight w:val="yellow"/>
          <w:lang w:val="id-ID" w:eastAsia="id-ID"/>
        </w:rPr>
        <w:t>O</w:t>
      </w:r>
      <w:r w:rsidRPr="00CA719A">
        <w:rPr>
          <w:rFonts w:ascii="Times New Roman" w:eastAsia="Times New Roman" w:hAnsi="Times New Roman" w:cs="Times New Roman"/>
          <w:szCs w:val="24"/>
          <w:highlight w:val="yellow"/>
          <w:vertAlign w:val="subscript"/>
          <w:lang w:val="id-ID" w:eastAsia="id-ID"/>
        </w:rPr>
        <w:t>12</w:t>
      </w:r>
      <w:r w:rsidRPr="00CA719A">
        <w:rPr>
          <w:rFonts w:ascii="Times New Roman" w:eastAsia="Times New Roman" w:hAnsi="Times New Roman" w:cs="Times New Roman"/>
          <w:szCs w:val="24"/>
          <w:highlight w:val="yellow"/>
          <w:lang w:val="id-ID" w:eastAsia="id-ID"/>
        </w:rPr>
        <w:t>), and aluminum phosphide (Al</w:t>
      </w:r>
      <w:r w:rsidRPr="00CA719A">
        <w:rPr>
          <w:rFonts w:ascii="Times New Roman" w:eastAsia="Times New Roman" w:hAnsi="Times New Roman" w:cs="Times New Roman"/>
          <w:szCs w:val="24"/>
          <w:highlight w:val="yellow"/>
          <w:vertAlign w:val="subscript"/>
          <w:lang w:val="id-ID" w:eastAsia="id-ID"/>
        </w:rPr>
        <w:t>12</w:t>
      </w:r>
      <w:r w:rsidRPr="00CA719A">
        <w:rPr>
          <w:rFonts w:ascii="Times New Roman" w:eastAsia="Times New Roman" w:hAnsi="Times New Roman" w:cs="Times New Roman"/>
          <w:szCs w:val="24"/>
          <w:highlight w:val="yellow"/>
          <w:lang w:val="id-ID" w:eastAsia="id-ID"/>
        </w:rPr>
        <w:t>P</w:t>
      </w:r>
      <w:r w:rsidRPr="00CA719A">
        <w:rPr>
          <w:rFonts w:ascii="Times New Roman" w:eastAsia="Times New Roman" w:hAnsi="Times New Roman" w:cs="Times New Roman"/>
          <w:szCs w:val="24"/>
          <w:highlight w:val="yellow"/>
          <w:vertAlign w:val="subscript"/>
          <w:lang w:val="id-ID" w:eastAsia="id-ID"/>
        </w:rPr>
        <w:t>12</w:t>
      </w:r>
      <w:r w:rsidRPr="00CA719A">
        <w:rPr>
          <w:rFonts w:ascii="Times New Roman" w:eastAsia="Times New Roman" w:hAnsi="Times New Roman" w:cs="Times New Roman"/>
          <w:szCs w:val="24"/>
          <w:highlight w:val="yellow"/>
          <w:lang w:val="id-ID" w:eastAsia="id-ID"/>
        </w:rPr>
        <w:t>) nanocages were selected in this study because they represent different classes of materials, including pure carbon, nitride ceramics, oxide ceramics, and semiconductors. These materials exhibit attractive properties such as high structural stability, favorable electronic conductivity, excellent thermal stability, and sufficient internal cavities for lithium storage. Although previous studies have investigated these individual nanocages for various molecular interactions and storage applications</w:t>
      </w:r>
      <w:r>
        <w:rPr>
          <w:rFonts w:ascii="Times New Roman" w:eastAsia="Times New Roman" w:hAnsi="Times New Roman" w:cs="Times New Roman"/>
          <w:szCs w:val="24"/>
          <w:highlight w:val="yellow"/>
          <w:lang w:val="id-ID" w:eastAsia="id-ID"/>
        </w:rPr>
        <w:t xml:space="preserve"> </w:t>
      </w:r>
      <w:r>
        <w:rPr>
          <w:rFonts w:ascii="Times New Roman" w:eastAsia="Times New Roman" w:hAnsi="Times New Roman" w:cs="Times New Roman"/>
          <w:szCs w:val="24"/>
          <w:highlight w:val="yellow"/>
          <w:lang w:val="id-ID" w:eastAsia="id-ID"/>
        </w:rPr>
        <w:fldChar w:fldCharType="begin">
          <w:fldData xml:space="preserve">PEVuZE5vdGU+PENpdGU+PEF1dGhvcj5CYWdoZXJpPC9BdXRob3I+PFllYXI+MjAxNjwvWWVhcj48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</w:fldData>
        </w:fldChar>
      </w:r>
      <w:r>
        <w:rPr>
          <w:rFonts w:ascii="Times New Roman" w:eastAsia="Times New Roman" w:hAnsi="Times New Roman" w:cs="Times New Roman"/>
          <w:szCs w:val="24"/>
          <w:highlight w:val="yellow"/>
          <w:lang w:val="id-ID" w:eastAsia="id-ID"/>
        </w:rPr>
        <w:instrText xml:space="preserve"> ADDIN EN.CITE </w:instrText>
      </w:r>
      <w:r>
        <w:rPr>
          <w:rFonts w:ascii="Times New Roman" w:eastAsia="Times New Roman" w:hAnsi="Times New Roman" w:cs="Times New Roman"/>
          <w:szCs w:val="24"/>
          <w:highlight w:val="yellow"/>
          <w:lang w:val="id-ID" w:eastAsia="id-ID"/>
        </w:rPr>
        <w:fldChar w:fldCharType="begin">
          <w:fldData xml:space="preserve">PEVuZE5vdGU+PENpdGU+PEF1dGhvcj5CYWdoZXJpPC9BdXRob3I+PFllYXI+MjAxNjwvWWVhcj48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</w:fldData>
        </w:fldChar>
      </w:r>
      <w:r>
        <w:rPr>
          <w:rFonts w:ascii="Times New Roman" w:eastAsia="Times New Roman" w:hAnsi="Times New Roman" w:cs="Times New Roman"/>
          <w:szCs w:val="24"/>
          <w:highlight w:val="yellow"/>
          <w:lang w:val="id-ID" w:eastAsia="id-ID"/>
        </w:rPr>
        <w:instrText xml:space="preserve"> ADDIN EN.CITE.DATA </w:instrText>
      </w:r>
      <w:r>
        <w:rPr>
          <w:rFonts w:ascii="Times New Roman" w:eastAsia="Times New Roman" w:hAnsi="Times New Roman" w:cs="Times New Roman"/>
          <w:szCs w:val="24"/>
          <w:highlight w:val="yellow"/>
          <w:lang w:val="id-ID" w:eastAsia="id-ID"/>
        </w:rPr>
      </w:r>
      <w:r>
        <w:rPr>
          <w:rFonts w:ascii="Times New Roman" w:eastAsia="Times New Roman" w:hAnsi="Times New Roman" w:cs="Times New Roman"/>
          <w:szCs w:val="24"/>
          <w:highlight w:val="yellow"/>
          <w:lang w:val="id-ID" w:eastAsia="id-ID"/>
        </w:rPr>
        <w:fldChar w:fldCharType="end"/>
      </w:r>
      <w:r>
        <w:rPr>
          <w:rFonts w:ascii="Times New Roman" w:eastAsia="Times New Roman" w:hAnsi="Times New Roman" w:cs="Times New Roman"/>
          <w:szCs w:val="24"/>
          <w:highlight w:val="yellow"/>
          <w:lang w:val="id-ID" w:eastAsia="id-ID"/>
        </w:rPr>
      </w:r>
      <w:r>
        <w:rPr>
          <w:rFonts w:ascii="Times New Roman" w:eastAsia="Times New Roman" w:hAnsi="Times New Roman" w:cs="Times New Roman"/>
          <w:szCs w:val="24"/>
          <w:highlight w:val="yellow"/>
          <w:lang w:val="id-ID" w:eastAsia="id-ID"/>
        </w:rPr>
        <w:fldChar w:fldCharType="separate"/>
      </w:r>
      <w:r>
        <w:rPr>
          <w:rFonts w:ascii="Times New Roman" w:eastAsia="Times New Roman" w:hAnsi="Times New Roman" w:cs="Times New Roman"/>
          <w:noProof/>
          <w:szCs w:val="24"/>
          <w:highlight w:val="yellow"/>
          <w:lang w:val="id-ID" w:eastAsia="id-ID"/>
        </w:rPr>
        <w:t>[11-14]</w:t>
      </w:r>
      <w:r>
        <w:rPr>
          <w:rFonts w:ascii="Times New Roman" w:eastAsia="Times New Roman" w:hAnsi="Times New Roman" w:cs="Times New Roman"/>
          <w:szCs w:val="24"/>
          <w:highlight w:val="yellow"/>
          <w:lang w:val="id-ID" w:eastAsia="id-ID"/>
        </w:rPr>
        <w:fldChar w:fldCharType="end"/>
      </w:r>
      <w:r w:rsidRPr="00CA719A">
        <w:rPr>
          <w:rFonts w:ascii="Times New Roman" w:eastAsia="Times New Roman" w:hAnsi="Times New Roman" w:cs="Times New Roman"/>
          <w:szCs w:val="24"/>
          <w:highlight w:val="yellow"/>
          <w:lang w:val="id-ID" w:eastAsia="id-ID"/>
        </w:rPr>
        <w:t xml:space="preserve">, a direct and systematic comparative evaluation of their </w:t>
      </w:r>
      <w:r w:rsidRPr="00CA719A">
        <w:rPr>
          <w:rFonts w:ascii="Times New Roman" w:eastAsia="Times New Roman" w:hAnsi="Times New Roman" w:cs="Times New Roman"/>
          <w:szCs w:val="24"/>
          <w:highlight w:val="yellow"/>
          <w:lang w:val="id-ID" w:eastAsia="id-ID"/>
        </w:rPr>
        <w:lastRenderedPageBreak/>
        <w:t>electrochemical performance as potential LIB anodes using a unified set of electronic and energetic descriptors remains scarce. Therefore, this work aims to bridge this gap by providing a comprehensive comparative screening to identify the structure-property relationships governing their lithium storage capabilities.</w:t>
      </w:r>
      <w:r w:rsidRPr="00A77B26">
        <w:rPr>
          <w:rFonts w:ascii="Times New Roman" w:eastAsia="Times New Roman" w:hAnsi="Times New Roman" w:cs="Times New Roman"/>
          <w:szCs w:val="24"/>
          <w:lang w:val="id-ID" w:eastAsia="id-ID"/>
        </w:rPr>
        <w:t xml:space="preserve"> </w:t>
      </w:r>
    </w:p>
    <w:p w14:paraId="0DF81BF3" w14:textId="77777777" w:rsidR="00BD2D91" w:rsidRPr="00AE00EB" w:rsidRDefault="00BD2D91" w:rsidP="00BD2D91">
      <w:pPr>
        <w:spacing w:after="0" w:line="240" w:lineRule="auto"/>
        <w:ind w:firstLine="720"/>
        <w:jc w:val="both"/>
        <w:rPr>
          <w:rFonts w:ascii="Times New Roman" w:hAnsi="Times New Roman" w:cs="Times New Roman"/>
          <w:color w:val="0000FF"/>
          <w:szCs w:val="24"/>
          <w:lang w:val="id-ID"/>
        </w:rPr>
      </w:pPr>
    </w:p>
    <w:p w14:paraId="44509556" w14:textId="02F5EB73" w:rsidR="005C0B4F" w:rsidRPr="00AE00EB" w:rsidRDefault="005C0B4F" w:rsidP="005C0B4F">
      <w:pPr>
        <w:spacing w:after="0" w:line="240" w:lineRule="auto"/>
        <w:jc w:val="both"/>
        <w:rPr>
          <w:rFonts w:ascii="Times New Roman" w:hAnsi="Times New Roman" w:cs="Times New Roman"/>
          <w:color w:val="0000FF"/>
          <w:szCs w:val="24"/>
        </w:rPr>
      </w:pPr>
    </w:p>
    <w:p w14:paraId="627DE0ED" w14:textId="0BA49138" w:rsidR="005C0B4F" w:rsidRPr="00AE00EB" w:rsidRDefault="005C0B4F" w:rsidP="005C0B4F">
      <w:pPr>
        <w:spacing w:after="0" w:line="240" w:lineRule="auto"/>
        <w:jc w:val="both"/>
        <w:rPr>
          <w:rFonts w:ascii="Times New Roman" w:hAnsi="Times New Roman" w:cs="Times New Roman"/>
          <w:b/>
          <w:bCs/>
          <w:szCs w:val="24"/>
        </w:rPr>
      </w:pPr>
      <w:r w:rsidRPr="00AE00EB">
        <w:rPr>
          <w:rFonts w:ascii="Times New Roman" w:hAnsi="Times New Roman" w:cs="Times New Roman"/>
          <w:b/>
          <w:bCs/>
          <w:szCs w:val="24"/>
        </w:rPr>
        <w:t>Reviewer Comment point-</w:t>
      </w:r>
      <w:r w:rsidR="0032539B" w:rsidRPr="00AE00EB">
        <w:rPr>
          <w:rFonts w:ascii="Times New Roman" w:hAnsi="Times New Roman" w:cs="Times New Roman"/>
          <w:b/>
          <w:bCs/>
          <w:szCs w:val="24"/>
        </w:rPr>
        <w:t>2</w:t>
      </w:r>
      <w:r w:rsidRPr="00AE00EB">
        <w:rPr>
          <w:rFonts w:ascii="Times New Roman" w:hAnsi="Times New Roman" w:cs="Times New Roman"/>
          <w:b/>
          <w:bCs/>
          <w:szCs w:val="24"/>
        </w:rPr>
        <w:t>:</w:t>
      </w:r>
    </w:p>
    <w:p w14:paraId="122AD864" w14:textId="2614B48B" w:rsidR="005C0B4F" w:rsidRPr="00AE00EB" w:rsidRDefault="0032539B" w:rsidP="005C0B4F">
      <w:pPr>
        <w:spacing w:after="0" w:line="240" w:lineRule="auto"/>
        <w:jc w:val="both"/>
        <w:rPr>
          <w:rFonts w:ascii="Times New Roman" w:hAnsi="Times New Roman" w:cs="Times New Roman"/>
          <w:szCs w:val="24"/>
        </w:rPr>
      </w:pPr>
      <w:r w:rsidRPr="00AE00EB">
        <w:rPr>
          <w:rFonts w:ascii="Times New Roman" w:hAnsi="Times New Roman" w:cs="Times New Roman"/>
          <w:szCs w:val="24"/>
        </w:rPr>
        <w:t>The computational methodology requires slightly stronger justification. The authors employ the M06-2X functional with the 6-31+G(d) basis set. A brief explanation or supporting reference demonstrating the suitability of this computational level for lithium adsorption and nanocage systems would strengthen the reliability of the methodology</w:t>
      </w:r>
    </w:p>
    <w:p w14:paraId="1BA914F0" w14:textId="77777777" w:rsidR="005C0B4F" w:rsidRPr="00AE00EB" w:rsidRDefault="005C0B4F" w:rsidP="005C0B4F">
      <w:pPr>
        <w:spacing w:after="0" w:line="240" w:lineRule="auto"/>
        <w:jc w:val="both"/>
        <w:rPr>
          <w:rFonts w:ascii="Times New Roman" w:hAnsi="Times New Roman" w:cs="Times New Roman"/>
          <w:color w:val="0000FF"/>
          <w:szCs w:val="24"/>
        </w:rPr>
      </w:pPr>
    </w:p>
    <w:p w14:paraId="10BC2436" w14:textId="2F564530" w:rsidR="005C0B4F" w:rsidRPr="00AE00EB" w:rsidRDefault="005C0B4F" w:rsidP="005C0B4F">
      <w:pPr>
        <w:spacing w:after="0" w:line="240" w:lineRule="auto"/>
        <w:jc w:val="both"/>
        <w:rPr>
          <w:rFonts w:ascii="Times New Roman" w:hAnsi="Times New Roman" w:cs="Times New Roman"/>
          <w:b/>
          <w:bCs/>
          <w:color w:val="0000FF"/>
          <w:szCs w:val="24"/>
        </w:rPr>
      </w:pPr>
      <w:r w:rsidRPr="00AE00EB">
        <w:rPr>
          <w:rFonts w:ascii="Times New Roman" w:hAnsi="Times New Roman" w:cs="Times New Roman"/>
          <w:b/>
          <w:bCs/>
          <w:color w:val="0000FF"/>
          <w:szCs w:val="24"/>
        </w:rPr>
        <w:t>Response:</w:t>
      </w:r>
    </w:p>
    <w:p w14:paraId="6E7108DD" w14:textId="6207492D" w:rsidR="005C0B4F" w:rsidRPr="00AE00EB" w:rsidRDefault="00670142" w:rsidP="00670142">
      <w:pPr>
        <w:spacing w:after="0" w:line="240" w:lineRule="auto"/>
        <w:ind w:firstLine="720"/>
        <w:jc w:val="both"/>
        <w:rPr>
          <w:rFonts w:ascii="Times New Roman" w:hAnsi="Times New Roman" w:cs="Times New Roman"/>
          <w:color w:val="0000FF"/>
          <w:szCs w:val="24"/>
        </w:rPr>
      </w:pPr>
      <w:r w:rsidRPr="00AE00EB">
        <w:rPr>
          <w:rFonts w:ascii="Times New Roman" w:hAnsi="Times New Roman" w:cs="Times New Roman"/>
          <w:color w:val="0000FF"/>
          <w:szCs w:val="24"/>
        </w:rPr>
        <w:t>We thank the reviewer for this constructive suggestion. To address this, we have expanded our methodology section to provide a clearer justification for our choice of computational level. The M06-2X functional was selected because its parametrization incorporates empirical dispersion corrections, making it widely recognized and reliable for modeling non-covalent interactions, binding behaviors, and charge transfers in alkali metal adsorption for battery and energy storage systems [19–22]. Furthermore, the 6-31+G(d) basis set—equipped with essential diffuse and polarization functions—provides an accurate description of the flexible electron density distributions of the host nanocages and the electropositive lithium atoms. We have updated the text in the revised manuscript (page 3, lines 20–28) to reflect these details and added the appropriate supporting literature references.</w:t>
      </w:r>
    </w:p>
    <w:p w14:paraId="627A2A5B" w14:textId="77777777" w:rsidR="00670142" w:rsidRPr="00AE00EB" w:rsidRDefault="00670142" w:rsidP="00670142">
      <w:pPr>
        <w:spacing w:after="0" w:line="240" w:lineRule="auto"/>
        <w:jc w:val="both"/>
        <w:rPr>
          <w:rFonts w:ascii="Times New Roman" w:hAnsi="Times New Roman" w:cs="Times New Roman"/>
          <w:color w:val="0000FF"/>
          <w:szCs w:val="24"/>
        </w:rPr>
      </w:pPr>
    </w:p>
    <w:p w14:paraId="49832561" w14:textId="77777777" w:rsidR="00A50A2B" w:rsidRPr="00546143" w:rsidRDefault="00A50A2B" w:rsidP="00A50A2B">
      <w:pPr>
        <w:spacing w:line="276" w:lineRule="auto"/>
        <w:ind w:firstLine="567"/>
        <w:rPr>
          <w:rFonts w:ascii="Times New Roman" w:eastAsia="Times New Roman" w:hAnsi="Times New Roman" w:cs="Times New Roman"/>
          <w:szCs w:val="24"/>
          <w:lang w:val="id-ID" w:eastAsia="id-ID"/>
        </w:rPr>
      </w:pPr>
      <w:r w:rsidRPr="00DC650C">
        <w:rPr>
          <w:rFonts w:ascii="Times New Roman" w:eastAsia="Times New Roman" w:hAnsi="Times New Roman" w:cs="Times New Roman"/>
          <w:szCs w:val="24"/>
          <w:lang w:val="id-ID" w:eastAsia="id-ID"/>
        </w:rPr>
        <w:t xml:space="preserve">. </w:t>
      </w:r>
      <w:r w:rsidRPr="00CA719A">
        <w:rPr>
          <w:rFonts w:ascii="Times New Roman" w:eastAsia="Times New Roman" w:hAnsi="Times New Roman" w:cs="Times New Roman"/>
          <w:szCs w:val="24"/>
          <w:highlight w:val="yellow"/>
          <w:lang w:val="id-ID" w:eastAsia="id-ID"/>
        </w:rPr>
        <w:t xml:space="preserve">The M06-2X exchange-correlation functional combined with the 6-31+G(d) basis set was employed for all calculations. The M06-2X functional was chosen for its proven reliability in evaluating non-covalent interactions and medium-range electron correlation, making it a robust and widely </w:t>
      </w:r>
      <w:r w:rsidRPr="00DE43D7">
        <w:rPr>
          <w:rFonts w:ascii="Times New Roman" w:eastAsia="Times New Roman" w:hAnsi="Times New Roman" w:cs="Times New Roman"/>
          <w:szCs w:val="24"/>
          <w:highlight w:val="yellow"/>
          <w:lang w:val="id-ID" w:eastAsia="id-ID"/>
        </w:rPr>
        <w:t xml:space="preserve">adopted level of theory for investigating alkali metal adsorption in battery and energy storage applications </w:t>
      </w:r>
      <w:r w:rsidRPr="00DE43D7">
        <w:rPr>
          <w:rFonts w:ascii="Times New Roman" w:eastAsia="Times New Roman" w:hAnsi="Times New Roman" w:cs="Times New Roman"/>
          <w:szCs w:val="24"/>
          <w:highlight w:val="yellow"/>
          <w:lang w:val="id-ID" w:eastAsia="id-ID"/>
        </w:rPr>
        <w:fldChar w:fldCharType="begin">
          <w:fldData xml:space="preserve">PEVuZE5vdGU+PENpdGU+PEF1dGhvcj5NdWx5YTwvQXV0aG9yPjxSZWNOdW0+MjA8L1JlY051bT48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</w:fldData>
        </w:fldChar>
      </w:r>
      <w:r>
        <w:rPr>
          <w:rFonts w:ascii="Times New Roman" w:eastAsia="Times New Roman" w:hAnsi="Times New Roman" w:cs="Times New Roman"/>
          <w:szCs w:val="24"/>
          <w:highlight w:val="yellow"/>
          <w:lang w:val="id-ID" w:eastAsia="id-ID"/>
        </w:rPr>
        <w:instrText xml:space="preserve"> ADDIN EN.CITE </w:instrText>
      </w:r>
      <w:r>
        <w:rPr>
          <w:rFonts w:ascii="Times New Roman" w:eastAsia="Times New Roman" w:hAnsi="Times New Roman" w:cs="Times New Roman"/>
          <w:szCs w:val="24"/>
          <w:highlight w:val="yellow"/>
          <w:lang w:val="id-ID" w:eastAsia="id-ID"/>
        </w:rPr>
        <w:fldChar w:fldCharType="begin">
          <w:fldData xml:space="preserve">PEVuZE5vdGU+PENpdGU+PEF1dGhvcj5NdWx5YTwvQXV0aG9yPjxSZWNOdW0+MjA8L1JlY051bT48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</w:fldData>
        </w:fldChar>
      </w:r>
      <w:r>
        <w:rPr>
          <w:rFonts w:ascii="Times New Roman" w:eastAsia="Times New Roman" w:hAnsi="Times New Roman" w:cs="Times New Roman"/>
          <w:szCs w:val="24"/>
          <w:highlight w:val="yellow"/>
          <w:lang w:val="id-ID" w:eastAsia="id-ID"/>
        </w:rPr>
        <w:instrText xml:space="preserve"> ADDIN EN.CITE.DATA </w:instrText>
      </w:r>
      <w:r>
        <w:rPr>
          <w:rFonts w:ascii="Times New Roman" w:eastAsia="Times New Roman" w:hAnsi="Times New Roman" w:cs="Times New Roman"/>
          <w:szCs w:val="24"/>
          <w:highlight w:val="yellow"/>
          <w:lang w:val="id-ID" w:eastAsia="id-ID"/>
        </w:rPr>
      </w:r>
      <w:r>
        <w:rPr>
          <w:rFonts w:ascii="Times New Roman" w:eastAsia="Times New Roman" w:hAnsi="Times New Roman" w:cs="Times New Roman"/>
          <w:szCs w:val="24"/>
          <w:highlight w:val="yellow"/>
          <w:lang w:val="id-ID" w:eastAsia="id-ID"/>
        </w:rPr>
        <w:fldChar w:fldCharType="end"/>
      </w:r>
      <w:r w:rsidRPr="00DE43D7">
        <w:rPr>
          <w:rFonts w:ascii="Times New Roman" w:eastAsia="Times New Roman" w:hAnsi="Times New Roman" w:cs="Times New Roman"/>
          <w:szCs w:val="24"/>
          <w:highlight w:val="yellow"/>
          <w:lang w:val="id-ID" w:eastAsia="id-ID"/>
        </w:rPr>
      </w:r>
      <w:r w:rsidRPr="00DE43D7">
        <w:rPr>
          <w:rFonts w:ascii="Times New Roman" w:eastAsia="Times New Roman" w:hAnsi="Times New Roman" w:cs="Times New Roman"/>
          <w:szCs w:val="24"/>
          <w:highlight w:val="yellow"/>
          <w:lang w:val="id-ID" w:eastAsia="id-ID"/>
        </w:rPr>
        <w:fldChar w:fldCharType="separate"/>
      </w:r>
      <w:r>
        <w:rPr>
          <w:rFonts w:ascii="Times New Roman" w:eastAsia="Times New Roman" w:hAnsi="Times New Roman" w:cs="Times New Roman"/>
          <w:noProof/>
          <w:szCs w:val="24"/>
          <w:highlight w:val="yellow"/>
          <w:lang w:val="id-ID" w:eastAsia="id-ID"/>
        </w:rPr>
        <w:t>[19-22]</w:t>
      </w:r>
      <w:r w:rsidRPr="00DE43D7">
        <w:rPr>
          <w:rFonts w:ascii="Times New Roman" w:eastAsia="Times New Roman" w:hAnsi="Times New Roman" w:cs="Times New Roman"/>
          <w:szCs w:val="24"/>
          <w:highlight w:val="yellow"/>
          <w:lang w:val="id-ID" w:eastAsia="id-ID"/>
        </w:rPr>
        <w:fldChar w:fldCharType="end"/>
      </w:r>
      <w:r w:rsidRPr="00DE43D7">
        <w:rPr>
          <w:rFonts w:ascii="Times New Roman" w:eastAsia="Times New Roman" w:hAnsi="Times New Roman" w:cs="Times New Roman"/>
          <w:szCs w:val="24"/>
          <w:highlight w:val="yellow"/>
          <w:lang w:val="id-ID" w:eastAsia="id-ID"/>
        </w:rPr>
        <w:t xml:space="preserve">. Additionally, the inclusion of diffuse functions in the 6-31+G(d) basis set is essential for properly capturing the electronic properties and charge transfer behavior associated with electropositive lithium ions interacting with nanocage surfaces. Geometry optimization was performed without </w:t>
      </w:r>
      <w:r w:rsidRPr="00CA719A">
        <w:rPr>
          <w:rFonts w:ascii="Times New Roman" w:eastAsia="Times New Roman" w:hAnsi="Times New Roman" w:cs="Times New Roman"/>
          <w:szCs w:val="24"/>
          <w:highlight w:val="yellow"/>
          <w:lang w:val="id-ID" w:eastAsia="id-ID"/>
        </w:rPr>
        <w:t>geometric constraints until the convergence criteria for energy and atomic forces were satisfied.</w:t>
      </w:r>
    </w:p>
    <w:p w14:paraId="016DE8E5" w14:textId="1C51898D" w:rsidR="005C0B4F" w:rsidRPr="00A50A2B" w:rsidRDefault="005C0B4F" w:rsidP="005C0B4F">
      <w:pPr>
        <w:spacing w:after="0" w:line="240" w:lineRule="auto"/>
        <w:jc w:val="both"/>
        <w:rPr>
          <w:rFonts w:ascii="Times New Roman" w:hAnsi="Times New Roman" w:cs="Times New Roman"/>
          <w:color w:val="0000FF"/>
          <w:szCs w:val="24"/>
          <w:lang w:val="id-ID"/>
        </w:rPr>
      </w:pPr>
    </w:p>
    <w:p w14:paraId="708C4E2A" w14:textId="119D4A81" w:rsidR="005C0B4F" w:rsidRPr="00AE00EB" w:rsidRDefault="005C0B4F" w:rsidP="005C0B4F">
      <w:pPr>
        <w:spacing w:after="0" w:line="240" w:lineRule="auto"/>
        <w:jc w:val="both"/>
        <w:rPr>
          <w:rFonts w:ascii="Times New Roman" w:hAnsi="Times New Roman" w:cs="Times New Roman"/>
          <w:b/>
          <w:bCs/>
          <w:szCs w:val="24"/>
        </w:rPr>
      </w:pPr>
      <w:r w:rsidRPr="00AE00EB">
        <w:rPr>
          <w:rFonts w:ascii="Times New Roman" w:hAnsi="Times New Roman" w:cs="Times New Roman"/>
          <w:b/>
          <w:bCs/>
          <w:szCs w:val="24"/>
        </w:rPr>
        <w:t>Reviewer Comment point-</w:t>
      </w:r>
      <w:r w:rsidR="00EB4C5A" w:rsidRPr="00AE00EB">
        <w:rPr>
          <w:rFonts w:ascii="Times New Roman" w:hAnsi="Times New Roman" w:cs="Times New Roman"/>
          <w:b/>
          <w:bCs/>
          <w:szCs w:val="24"/>
        </w:rPr>
        <w:t>3</w:t>
      </w:r>
      <w:r w:rsidRPr="00AE00EB">
        <w:rPr>
          <w:rFonts w:ascii="Times New Roman" w:hAnsi="Times New Roman" w:cs="Times New Roman"/>
          <w:b/>
          <w:bCs/>
          <w:szCs w:val="24"/>
        </w:rPr>
        <w:t>:</w:t>
      </w:r>
    </w:p>
    <w:p w14:paraId="24ADF030" w14:textId="5C64BC00" w:rsidR="005C0B4F" w:rsidRPr="00AE00EB" w:rsidRDefault="00EB4C5A" w:rsidP="005C0B4F">
      <w:pPr>
        <w:spacing w:after="0" w:line="240" w:lineRule="auto"/>
        <w:jc w:val="both"/>
        <w:rPr>
          <w:rFonts w:ascii="Times New Roman" w:hAnsi="Times New Roman" w:cs="Times New Roman"/>
          <w:szCs w:val="24"/>
        </w:rPr>
      </w:pPr>
      <w:r w:rsidRPr="00AE00EB">
        <w:rPr>
          <w:rFonts w:ascii="Times New Roman" w:hAnsi="Times New Roman" w:cs="Times New Roman"/>
          <w:szCs w:val="24"/>
        </w:rPr>
        <w:t xml:space="preserve">The interpretation of Li and Li+ adsorption energies should be checked carefully. Table 1 reports substantially different adsorption energies for neutral and ionic lithium. The discussion should consistently distinguish Li from Li+ and ensure that statements regarding </w:t>
      </w:r>
      <w:r w:rsidRPr="00AE00EB">
        <w:rPr>
          <w:rFonts w:ascii="Times New Roman" w:hAnsi="Times New Roman" w:cs="Times New Roman"/>
          <w:szCs w:val="24"/>
        </w:rPr>
        <w:lastRenderedPageBreak/>
        <w:t>which species exhibits stronger adsorption correspond correctly to the numerical values reported in Table 1</w:t>
      </w:r>
    </w:p>
    <w:p w14:paraId="08A3303C" w14:textId="77777777" w:rsidR="00EB4C5A" w:rsidRPr="00AE00EB" w:rsidRDefault="00EB4C5A" w:rsidP="005C0B4F">
      <w:pPr>
        <w:spacing w:after="0" w:line="240" w:lineRule="auto"/>
        <w:jc w:val="both"/>
        <w:rPr>
          <w:rFonts w:ascii="Times New Roman" w:hAnsi="Times New Roman" w:cs="Times New Roman"/>
          <w:szCs w:val="24"/>
        </w:rPr>
      </w:pPr>
    </w:p>
    <w:p w14:paraId="70AC4F7C" w14:textId="7F16B1BF" w:rsidR="005C0B4F" w:rsidRPr="00AE00EB" w:rsidRDefault="005C0B4F" w:rsidP="005C0B4F">
      <w:pPr>
        <w:spacing w:after="0" w:line="240" w:lineRule="auto"/>
        <w:jc w:val="both"/>
        <w:rPr>
          <w:rFonts w:ascii="Times New Roman" w:hAnsi="Times New Roman" w:cs="Times New Roman"/>
          <w:b/>
          <w:bCs/>
          <w:color w:val="0000FF"/>
          <w:szCs w:val="24"/>
        </w:rPr>
      </w:pPr>
      <w:r w:rsidRPr="00AE00EB">
        <w:rPr>
          <w:rFonts w:ascii="Times New Roman" w:hAnsi="Times New Roman" w:cs="Times New Roman"/>
          <w:b/>
          <w:bCs/>
          <w:color w:val="0000FF"/>
          <w:szCs w:val="24"/>
        </w:rPr>
        <w:t>Response:</w:t>
      </w:r>
    </w:p>
    <w:p w14:paraId="57AD7746" w14:textId="77777777" w:rsidR="00F76CE9" w:rsidRPr="00AE00EB" w:rsidRDefault="00F76CE9" w:rsidP="00EB4C5A">
      <w:pPr>
        <w:spacing w:after="0" w:line="240" w:lineRule="auto"/>
        <w:ind w:firstLine="720"/>
        <w:jc w:val="both"/>
        <w:rPr>
          <w:rFonts w:ascii="Times New Roman" w:hAnsi="Times New Roman" w:cs="Times New Roman"/>
          <w:color w:val="0000FF"/>
          <w:szCs w:val="24"/>
          <w:lang w:val="en-ID"/>
        </w:rPr>
      </w:pPr>
    </w:p>
    <w:p w14:paraId="46E96862" w14:textId="368905A3" w:rsidR="004F6473" w:rsidRPr="00AE00EB" w:rsidRDefault="004F6473" w:rsidP="004F6473">
      <w:pPr>
        <w:ind w:firstLine="720"/>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We thank the reviewer for this important suggestion. We have carefully re-examined the discussion surrounding Table 1 to ensure that the distinction between neutral lithium (</w:t>
      </w:r>
      <m:oMath>
        <m:r>
          <m:rPr>
            <m:nor/>
          </m:rPr>
          <w:rPr>
            <w:rFonts w:ascii="Times New Roman" w:hAnsi="Times New Roman" w:cs="Times New Roman"/>
            <w:color w:val="0000FF"/>
            <w:szCs w:val="24"/>
            <w:lang w:val="en-ID"/>
          </w:rPr>
          <m:t>Li</m:t>
        </m:r>
      </m:oMath>
      <w:r w:rsidRPr="00AE00EB">
        <w:rPr>
          <w:rFonts w:ascii="Times New Roman" w:hAnsi="Times New Roman" w:cs="Times New Roman"/>
          <w:color w:val="0000FF"/>
          <w:szCs w:val="24"/>
          <w:lang w:val="en-ID"/>
        </w:rPr>
        <w:t>) and ionic lithium (</w:t>
      </w:r>
      <m:oMath>
        <m:sSup>
          <m:sSupPr>
            <m:ctrlPr>
              <w:rPr>
                <w:rFonts w:ascii="Cambria Math" w:hAnsi="Cambria Math" w:cs="Times New Roman"/>
                <w:color w:val="0000FF"/>
                <w:szCs w:val="24"/>
                <w:lang w:val="en-ID"/>
              </w:rPr>
            </m:ctrlPr>
          </m:sSupPr>
          <m:e>
            <m:r>
              <m:rPr>
                <m:nor/>
              </m:rPr>
              <w:rPr>
                <w:rFonts w:ascii="Times New Roman" w:hAnsi="Times New Roman" w:cs="Times New Roman"/>
                <w:color w:val="0000FF"/>
                <w:szCs w:val="24"/>
                <w:lang w:val="en-ID"/>
              </w:rPr>
              <m:t>Li</m:t>
            </m:r>
          </m:e>
          <m:sup>
            <m:r>
              <w:rPr>
                <w:rFonts w:ascii="Cambria Math" w:hAnsi="Cambria Math" w:cs="Times New Roman"/>
                <w:color w:val="0000FF"/>
                <w:szCs w:val="24"/>
                <w:lang w:val="en-ID"/>
              </w:rPr>
              <m:t>+</m:t>
            </m:r>
          </m:sup>
        </m:sSup>
      </m:oMath>
      <w:r w:rsidRPr="00AE00EB">
        <w:rPr>
          <w:rFonts w:ascii="Times New Roman" w:hAnsi="Times New Roman" w:cs="Times New Roman"/>
          <w:color w:val="0000FF"/>
          <w:szCs w:val="24"/>
          <w:lang w:val="en-ID"/>
        </w:rPr>
        <w:t xml:space="preserve">) is rigorous, consistent, and strictly aligned with the reported numerical values. In the revised manuscript, we explicitly clarify that the adsorption energies for the positively charged </w:t>
      </w:r>
      <m:oMath>
        <m:sSup>
          <m:sSupPr>
            <m:ctrlPr>
              <w:rPr>
                <w:rFonts w:ascii="Cambria Math" w:hAnsi="Cambria Math" w:cs="Times New Roman"/>
                <w:color w:val="0000FF"/>
                <w:szCs w:val="24"/>
                <w:lang w:val="en-ID"/>
              </w:rPr>
            </m:ctrlPr>
          </m:sSupPr>
          <m:e>
            <m:r>
              <m:rPr>
                <m:nor/>
              </m:rPr>
              <w:rPr>
                <w:rFonts w:ascii="Times New Roman" w:hAnsi="Times New Roman" w:cs="Times New Roman"/>
                <w:color w:val="0000FF"/>
                <w:szCs w:val="24"/>
                <w:lang w:val="en-ID"/>
              </w:rPr>
              <m:t>Li</m:t>
            </m:r>
          </m:e>
          <m:sup>
            <m:r>
              <w:rPr>
                <w:rFonts w:ascii="Cambria Math" w:hAnsi="Cambria Math" w:cs="Times New Roman"/>
                <w:color w:val="0000FF"/>
                <w:szCs w:val="24"/>
                <w:lang w:val="en-ID"/>
              </w:rPr>
              <m:t>+</m:t>
            </m:r>
          </m:sup>
        </m:sSup>
      </m:oMath>
      <w:r w:rsidRPr="00AE00EB">
        <w:rPr>
          <w:rFonts w:ascii="Times New Roman" w:hAnsi="Times New Roman" w:cs="Times New Roman"/>
          <w:color w:val="0000FF"/>
          <w:szCs w:val="24"/>
          <w:lang w:val="en-ID"/>
        </w:rPr>
        <w:t xml:space="preserve"> ion are substantially more negative (indicating significantly stronger exothermic binding driven by Coulombic/electrostatic attraction) compared to those of the neutral </w:t>
      </w:r>
      <m:oMath>
        <m:r>
          <m:rPr>
            <m:nor/>
          </m:rPr>
          <w:rPr>
            <w:rFonts w:ascii="Times New Roman" w:hAnsi="Times New Roman" w:cs="Times New Roman"/>
            <w:color w:val="0000FF"/>
            <w:szCs w:val="24"/>
            <w:lang w:val="en-ID"/>
          </w:rPr>
          <m:t>Li</m:t>
        </m:r>
      </m:oMath>
      <w:r w:rsidRPr="00AE00EB">
        <w:rPr>
          <w:rFonts w:ascii="Times New Roman" w:hAnsi="Times New Roman" w:cs="Times New Roman"/>
          <w:color w:val="0000FF"/>
          <w:szCs w:val="24"/>
          <w:lang w:val="en-ID"/>
        </w:rPr>
        <w:t xml:space="preserve"> atom (which are governed by covalent contributions and charge transfer). We have verified that all comparative statements regarding adsorption strength precisely reflect the numerical data in Table 1.</w:t>
      </w:r>
    </w:p>
    <w:p w14:paraId="55AE7B3E" w14:textId="77777777" w:rsidR="00A50A2B" w:rsidRPr="00546143" w:rsidRDefault="004F6473" w:rsidP="00A50A2B">
      <w:pPr>
        <w:spacing w:line="276" w:lineRule="auto"/>
        <w:ind w:firstLine="567"/>
        <w:rPr>
          <w:rFonts w:ascii="Times New Roman" w:hAnsi="Times New Roman" w:cs="Times New Roman"/>
          <w:szCs w:val="24"/>
        </w:rPr>
      </w:pPr>
      <w:r w:rsidRPr="00AE00EB">
        <w:rPr>
          <w:rFonts w:ascii="Times New Roman" w:hAnsi="Times New Roman" w:cs="Times New Roman"/>
          <w:color w:val="0000FF"/>
          <w:szCs w:val="24"/>
        </w:rPr>
        <w:t xml:space="preserve">(Page 4: Line </w:t>
      </w:r>
      <w:r w:rsidR="00A50A2B">
        <w:rPr>
          <w:rFonts w:ascii="Times New Roman" w:hAnsi="Times New Roman" w:cs="Times New Roman"/>
          <w:color w:val="0000FF"/>
          <w:szCs w:val="24"/>
        </w:rPr>
        <w:t>22-24</w:t>
      </w:r>
      <w:r w:rsidRPr="00AE00EB">
        <w:rPr>
          <w:rFonts w:ascii="Times New Roman" w:hAnsi="Times New Roman" w:cs="Times New Roman"/>
          <w:color w:val="0000FF"/>
          <w:szCs w:val="24"/>
        </w:rPr>
        <w:t xml:space="preserve">): </w:t>
      </w:r>
      <w:r w:rsidR="00A50A2B" w:rsidRPr="000E1014">
        <w:rPr>
          <w:rFonts w:ascii="Times New Roman" w:hAnsi="Times New Roman" w:cs="Times New Roman"/>
          <w:szCs w:val="24"/>
          <w:highlight w:val="yellow"/>
        </w:rPr>
        <w:t>Negative E</w:t>
      </w:r>
      <w:r w:rsidR="00A50A2B" w:rsidRPr="000E1014">
        <w:rPr>
          <w:rFonts w:ascii="Times New Roman" w:hAnsi="Times New Roman" w:cs="Times New Roman"/>
          <w:szCs w:val="24"/>
          <w:highlight w:val="yellow"/>
          <w:vertAlign w:val="subscript"/>
        </w:rPr>
        <w:t>ads</w:t>
      </w:r>
      <w:r w:rsidR="00A50A2B" w:rsidRPr="000E1014">
        <w:rPr>
          <w:rFonts w:ascii="Times New Roman" w:hAnsi="Times New Roman" w:cs="Times New Roman"/>
          <w:szCs w:val="24"/>
          <w:highlight w:val="yellow"/>
        </w:rPr>
        <w:t xml:space="preserve"> indicate </w:t>
      </w:r>
      <w:r w:rsidR="00A50A2B" w:rsidRPr="00D10F13">
        <w:rPr>
          <w:rFonts w:ascii="Times New Roman" w:hAnsi="Times New Roman" w:cs="Times New Roman"/>
          <w:szCs w:val="24"/>
          <w:highlight w:val="yellow"/>
        </w:rPr>
        <w:t xml:space="preserve">spontaneous adsorption, with more negative values corresponding to stronger binding interactions </w:t>
      </w:r>
      <w:r w:rsidR="00A50A2B">
        <w:rPr>
          <w:rFonts w:ascii="Times New Roman" w:hAnsi="Times New Roman" w:cs="Times New Roman"/>
          <w:szCs w:val="24"/>
          <w:highlight w:val="yellow"/>
        </w:rPr>
        <w:fldChar w:fldCharType="begin"/>
      </w:r>
      <w:r w:rsidR="00A50A2B">
        <w:rPr>
          <w:rFonts w:ascii="Times New Roman" w:hAnsi="Times New Roman" w:cs="Times New Roman"/>
          <w:szCs w:val="24"/>
          <w:highlight w:val="yellow"/>
        </w:rPr>
        <w:instrText xml:space="preserve"> ADDIN EN.CITE &lt;EndNote&gt;&lt;Cite&gt;&lt;Author&gt;Fan&lt;/Author&gt;&lt;Year&gt;2020&lt;/Year&gt;&lt;RecNum&gt;24&lt;/RecNum&gt;&lt;DisplayText&gt;[15, 23]&lt;/DisplayText&gt;&lt;record&gt;&lt;rec-number&gt;24&lt;/rec-number&gt;&lt;foreign-keys&gt;&lt;key app="EN" db-id="d5p2wtpdta29etev5d95vvtjtded0psxrraf" timestamp="1787557959"&gt;24&lt;/key&gt;&lt;/foreign-keys&gt;&lt;ref-type name="Journal Article"&gt;17&lt;/ref-type&gt;&lt;contributors&gt;&lt;authors&gt;&lt;author&gt;Fan, Rujing&lt;/author&gt;&lt;author&gt;Yang, Biao&lt;/author&gt;&lt;author&gt;Li, Zhiwei&lt;/author&gt;&lt;author&gt;Ma, Dandan&lt;/author&gt;&lt;author&gt;Yuan, Wendong&lt;/author&gt;&lt;author&gt;Ma, Jianyi&lt;/author&gt;&lt;author&gt;Ren, Haisheng&lt;/author&gt;&lt;/authors&gt;&lt;/contributors&gt;&lt;titles&gt;&lt;title&gt;First-principles study of the adsorption behaviors of Li atoms and LiF on the CF x (x= 1.0, 0.9, 0.8, 0.5,</w:instrText>
      </w:r>
      <w:r w:rsidR="00A50A2B">
        <w:rPr>
          <w:rFonts w:ascii="Cambria Math" w:hAnsi="Cambria Math" w:cs="Cambria Math"/>
          <w:szCs w:val="24"/>
          <w:highlight w:val="yellow"/>
        </w:rPr>
        <w:instrText>∼</w:instrText>
      </w:r>
      <w:r w:rsidR="00A50A2B">
        <w:rPr>
          <w:rFonts w:ascii="Times New Roman" w:hAnsi="Times New Roman" w:cs="Times New Roman"/>
          <w:szCs w:val="24"/>
          <w:highlight w:val="yellow"/>
        </w:rPr>
        <w:instrText xml:space="preserve"> 0.0) surface&lt;/title&gt;&lt;secondary-title&gt;RSC advances&lt;/secondary-title&gt;&lt;/titles&gt;&lt;periodical&gt;&lt;full-title&gt;RSC advances&lt;/full-title&gt;&lt;/periodical&gt;&lt;pages&gt;31881-31888&lt;/pages&gt;&lt;volume&gt;10&lt;/volume&gt;&lt;number&gt;53&lt;/number&gt;&lt;dates&gt;&lt;year&gt;2020&lt;/year&gt;&lt;/dates&gt;&lt;publisher&gt;The Royal Society of Chemistry&lt;/publisher&gt;&lt;isbn&gt;2046-2069&lt;/isbn&gt;&lt;urls&gt;&lt;/urls&gt;&lt;/record&gt;&lt;/Cite&gt;&lt;Cite&gt;&lt;Author&gt;He&lt;/Author&gt;&lt;Year&gt;2019&lt;/Year&gt;&lt;RecNum&gt;25&lt;/RecNum&gt;&lt;record&gt;&lt;rec-number&gt;25&lt;/rec-number&gt;&lt;foreign-keys&gt;&lt;key app="EN" db-id="d5p2wtpdta29etev5d95vvtjtded0psxrraf" timestamp="1787557996"&gt;25&lt;/key&gt;&lt;/foreign-keys&gt;&lt;ref-type name="Journal Article"&gt;17&lt;/ref-type&gt;&lt;contributors&gt;&lt;authors&gt;&lt;author&gt;He, Qiu&lt;/author&gt;&lt;author&gt;Yu, Bin&lt;/author&gt;&lt;author&gt;Li, Zhaohuai&lt;/author&gt;&lt;author&gt;Zhao, Yan&lt;/author&gt;&lt;/authors&gt;&lt;/contributors&gt;&lt;titles&gt;&lt;title&gt;Density functional theory for battery materials&lt;/title&gt;&lt;secondary-title&gt;Energy &amp;amp; Environmental Materials&lt;/secondary-title&gt;&lt;/titles&gt;&lt;periodical&gt;&lt;full-title&gt;Energy &amp;amp; Environmental Materials&lt;/full-title&gt;&lt;/periodical&gt;&lt;pages&gt;264-279&lt;/pages&gt;&lt;volume&gt;2&lt;/volume&gt;&lt;number&gt;4&lt;/number&gt;&lt;dates&gt;&lt;year&gt;2019&lt;/year&gt;&lt;/dates&gt;&lt;publisher&gt;Wiley Online Library&lt;/publisher&gt;&lt;isbn&gt;2575-0356&lt;/isbn&gt;&lt;urls&gt;&lt;/urls&gt;&lt;/record&gt;&lt;/Cite&gt;&lt;/EndNote&gt;</w:instrText>
      </w:r>
      <w:r w:rsidR="00A50A2B">
        <w:rPr>
          <w:rFonts w:ascii="Times New Roman" w:hAnsi="Times New Roman" w:cs="Times New Roman"/>
          <w:szCs w:val="24"/>
          <w:highlight w:val="yellow"/>
        </w:rPr>
        <w:fldChar w:fldCharType="separate"/>
      </w:r>
      <w:r w:rsidR="00A50A2B">
        <w:rPr>
          <w:rFonts w:ascii="Times New Roman" w:hAnsi="Times New Roman" w:cs="Times New Roman"/>
          <w:noProof/>
          <w:szCs w:val="24"/>
          <w:highlight w:val="yellow"/>
        </w:rPr>
        <w:t>[15, 23]</w:t>
      </w:r>
      <w:r w:rsidR="00A50A2B">
        <w:rPr>
          <w:rFonts w:ascii="Times New Roman" w:hAnsi="Times New Roman" w:cs="Times New Roman"/>
          <w:szCs w:val="24"/>
          <w:highlight w:val="yellow"/>
        </w:rPr>
        <w:fldChar w:fldCharType="end"/>
      </w:r>
      <w:r w:rsidR="00A50A2B" w:rsidRPr="00D10F13">
        <w:rPr>
          <w:rFonts w:ascii="Times New Roman" w:hAnsi="Times New Roman" w:cs="Times New Roman"/>
          <w:szCs w:val="24"/>
          <w:highlight w:val="yellow"/>
        </w:rPr>
        <w:t>.</w:t>
      </w:r>
    </w:p>
    <w:p w14:paraId="5C2C9E67" w14:textId="77777777" w:rsidR="00287E27" w:rsidRPr="00AE00EB" w:rsidRDefault="00287E27" w:rsidP="00A50A2B">
      <w:pPr>
        <w:spacing w:after="0" w:line="240" w:lineRule="auto"/>
        <w:jc w:val="both"/>
        <w:rPr>
          <w:rFonts w:ascii="Times New Roman" w:hAnsi="Times New Roman" w:cs="Times New Roman"/>
          <w:color w:val="0000FF"/>
          <w:szCs w:val="24"/>
        </w:rPr>
      </w:pPr>
    </w:p>
    <w:p w14:paraId="76395FB9" w14:textId="5BEC459A" w:rsidR="00412E1E" w:rsidRPr="00AE00EB" w:rsidRDefault="00412E1E" w:rsidP="00412E1E">
      <w:pPr>
        <w:spacing w:after="0" w:line="240" w:lineRule="auto"/>
        <w:jc w:val="both"/>
        <w:rPr>
          <w:rFonts w:ascii="Times New Roman" w:hAnsi="Times New Roman" w:cs="Times New Roman"/>
          <w:b/>
          <w:bCs/>
          <w:szCs w:val="24"/>
        </w:rPr>
      </w:pPr>
      <w:r w:rsidRPr="00AE00EB">
        <w:rPr>
          <w:rFonts w:ascii="Times New Roman" w:hAnsi="Times New Roman" w:cs="Times New Roman"/>
          <w:b/>
          <w:bCs/>
          <w:szCs w:val="24"/>
        </w:rPr>
        <w:t>Reviewer Comment point-</w:t>
      </w:r>
      <w:r w:rsidR="00287E27" w:rsidRPr="00AE00EB">
        <w:rPr>
          <w:rFonts w:ascii="Times New Roman" w:hAnsi="Times New Roman" w:cs="Times New Roman"/>
          <w:b/>
          <w:bCs/>
          <w:szCs w:val="24"/>
        </w:rPr>
        <w:t>4</w:t>
      </w:r>
      <w:r w:rsidRPr="00AE00EB">
        <w:rPr>
          <w:rFonts w:ascii="Times New Roman" w:hAnsi="Times New Roman" w:cs="Times New Roman"/>
          <w:b/>
          <w:bCs/>
          <w:szCs w:val="24"/>
        </w:rPr>
        <w:t>:</w:t>
      </w:r>
    </w:p>
    <w:p w14:paraId="60848F63" w14:textId="18CD253D" w:rsidR="00412E1E" w:rsidRPr="00AE00EB" w:rsidRDefault="004F6473" w:rsidP="005C0B4F">
      <w:pPr>
        <w:spacing w:after="0" w:line="240" w:lineRule="auto"/>
        <w:jc w:val="both"/>
        <w:rPr>
          <w:rFonts w:ascii="Times New Roman" w:hAnsi="Times New Roman" w:cs="Times New Roman"/>
          <w:szCs w:val="24"/>
        </w:rPr>
      </w:pPr>
      <w:r w:rsidRPr="00AE00EB">
        <w:rPr>
          <w:rFonts w:ascii="Times New Roman" w:hAnsi="Times New Roman" w:cs="Times New Roman"/>
          <w:szCs w:val="24"/>
        </w:rPr>
        <w:t>The authors should discuss whether excessively strong adsorption is always beneficial for an anode material. For example, Be12O12 exhibits a very strong interaction in one adsorption condition, whereas the manuscript later identifies C24 as the most promising candidate. A concise explanation connecting adsorption strength with reversible lithiation/</w:t>
      </w:r>
      <w:proofErr w:type="spellStart"/>
      <w:r w:rsidRPr="00AE00EB">
        <w:rPr>
          <w:rFonts w:ascii="Times New Roman" w:hAnsi="Times New Roman" w:cs="Times New Roman"/>
          <w:szCs w:val="24"/>
        </w:rPr>
        <w:t>delithiation</w:t>
      </w:r>
      <w:proofErr w:type="spellEnd"/>
      <w:r w:rsidRPr="00AE00EB">
        <w:rPr>
          <w:rFonts w:ascii="Times New Roman" w:hAnsi="Times New Roman" w:cs="Times New Roman"/>
          <w:szCs w:val="24"/>
        </w:rPr>
        <w:t xml:space="preserve"> would make this interpretation more convincing.</w:t>
      </w:r>
    </w:p>
    <w:p w14:paraId="7ED88390" w14:textId="77777777" w:rsidR="004F6473" w:rsidRPr="00AE00EB" w:rsidRDefault="004F6473" w:rsidP="005C0B4F">
      <w:pPr>
        <w:spacing w:after="0" w:line="240" w:lineRule="auto"/>
        <w:jc w:val="both"/>
        <w:rPr>
          <w:rFonts w:ascii="Times New Roman" w:hAnsi="Times New Roman" w:cs="Times New Roman"/>
          <w:color w:val="0000FF"/>
          <w:szCs w:val="24"/>
        </w:rPr>
      </w:pPr>
    </w:p>
    <w:p w14:paraId="0AF19EE5" w14:textId="118CC595" w:rsidR="005C0B4F" w:rsidRPr="00AE00EB" w:rsidRDefault="005C0B4F" w:rsidP="005C0B4F">
      <w:pPr>
        <w:spacing w:after="0" w:line="240" w:lineRule="auto"/>
        <w:jc w:val="both"/>
        <w:rPr>
          <w:rFonts w:ascii="Times New Roman" w:hAnsi="Times New Roman" w:cs="Times New Roman"/>
          <w:b/>
          <w:bCs/>
          <w:color w:val="0000FF"/>
          <w:szCs w:val="24"/>
        </w:rPr>
      </w:pPr>
      <w:r w:rsidRPr="00AE00EB">
        <w:rPr>
          <w:rFonts w:ascii="Times New Roman" w:hAnsi="Times New Roman" w:cs="Times New Roman"/>
          <w:b/>
          <w:bCs/>
          <w:color w:val="0000FF"/>
          <w:szCs w:val="24"/>
        </w:rPr>
        <w:t>Response:</w:t>
      </w:r>
    </w:p>
    <w:p w14:paraId="3EE1B919" w14:textId="77777777" w:rsidR="004F6473" w:rsidRPr="00AE00EB" w:rsidRDefault="004F6473" w:rsidP="004F6473">
      <w:pPr>
        <w:spacing w:line="276" w:lineRule="auto"/>
        <w:ind w:firstLine="567"/>
        <w:jc w:val="both"/>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 xml:space="preserve">We thank the reviewer for this insightful question. We agree that exceptionally strong adsorption is not always beneficial for a practical battery anode, as it can hinder the reversibility of the charging and discharging cycles. </w:t>
      </w:r>
    </w:p>
    <w:p w14:paraId="4B43B742" w14:textId="58295B4A" w:rsidR="004F6473" w:rsidRPr="00AE00EB" w:rsidRDefault="004F6473" w:rsidP="004F6473">
      <w:pPr>
        <w:spacing w:line="276" w:lineRule="auto"/>
        <w:ind w:firstLine="567"/>
        <w:jc w:val="both"/>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 xml:space="preserve">Although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Be</m:t>
            </m:r>
          </m:e>
          <m:sub>
            <m:r>
              <w:rPr>
                <w:rFonts w:ascii="Cambria Math" w:hAnsi="Cambria Math" w:cs="Times New Roman"/>
                <w:color w:val="0000FF"/>
                <w:szCs w:val="24"/>
                <w:lang w:val="en-ID"/>
              </w:rPr>
              <m:t>12</m:t>
            </m:r>
          </m:sub>
        </m:sSub>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O</m:t>
            </m:r>
          </m:e>
          <m:sub>
            <m:r>
              <w:rPr>
                <w:rFonts w:ascii="Cambria Math" w:hAnsi="Cambria Math" w:cs="Times New Roman"/>
                <w:color w:val="0000FF"/>
                <w:szCs w:val="24"/>
                <w:lang w:val="en-ID"/>
              </w:rPr>
              <m:t>12</m:t>
            </m:r>
          </m:sub>
        </m:sSub>
      </m:oMath>
      <w:r w:rsidRPr="00AE00EB">
        <w:rPr>
          <w:rFonts w:ascii="Times New Roman" w:hAnsi="Times New Roman" w:cs="Times New Roman"/>
          <w:color w:val="0000FF"/>
          <w:szCs w:val="24"/>
          <w:lang w:val="en-ID"/>
        </w:rPr>
        <w:t xml:space="preserve"> exhibits an extremely high binding energy under specific ionic conditions (e.g., </w:t>
      </w:r>
      <m:oMath>
        <m:sSup>
          <m:sSupPr>
            <m:ctrlPr>
              <w:rPr>
                <w:rFonts w:ascii="Cambria Math" w:hAnsi="Cambria Math" w:cs="Times New Roman"/>
                <w:color w:val="0000FF"/>
                <w:szCs w:val="24"/>
                <w:lang w:val="en-ID"/>
              </w:rPr>
            </m:ctrlPr>
          </m:sSupPr>
          <m:e>
            <m:r>
              <m:rPr>
                <m:nor/>
              </m:rPr>
              <w:rPr>
                <w:rFonts w:ascii="Times New Roman" w:hAnsi="Times New Roman" w:cs="Times New Roman"/>
                <w:color w:val="0000FF"/>
                <w:szCs w:val="24"/>
                <w:lang w:val="en-ID"/>
              </w:rPr>
              <m:t>Li</m:t>
            </m:r>
          </m:e>
          <m:sup>
            <m:r>
              <w:rPr>
                <w:rFonts w:ascii="Cambria Math" w:hAnsi="Cambria Math" w:cs="Times New Roman"/>
                <w:color w:val="0000FF"/>
                <w:szCs w:val="24"/>
                <w:lang w:val="en-ID"/>
              </w:rPr>
              <m:t>+</m:t>
            </m:r>
          </m:sup>
        </m:sSup>
      </m:oMath>
      <w:r w:rsidRPr="00AE00EB">
        <w:rPr>
          <w:rFonts w:ascii="Times New Roman" w:hAnsi="Times New Roman" w:cs="Times New Roman"/>
          <w:color w:val="0000FF"/>
          <w:szCs w:val="24"/>
          <w:lang w:val="en-ID"/>
        </w:rPr>
        <w:t xml:space="preserve"> adsorption), its neutral lithium adsorption is weak (</w:t>
      </w:r>
      <m:oMath>
        <m:r>
          <w:rPr>
            <w:rFonts w:ascii="Cambria Math" w:hAnsi="Cambria Math" w:cs="Times New Roman"/>
            <w:color w:val="0000FF"/>
            <w:szCs w:val="24"/>
            <w:lang w:val="en-ID"/>
          </w:rPr>
          <m:t>-0.73</m:t>
        </m:r>
        <m:r>
          <m:rPr>
            <m:nor/>
          </m:rPr>
          <w:rPr>
            <w:rFonts w:ascii="Times New Roman" w:hAnsi="Times New Roman" w:cs="Times New Roman"/>
            <w:color w:val="0000FF"/>
            <w:szCs w:val="24"/>
            <w:lang w:val="en-ID"/>
          </w:rPr>
          <m:t> eV</m:t>
        </m:r>
      </m:oMath>
      <w:r w:rsidRPr="00AE00EB">
        <w:rPr>
          <w:rFonts w:ascii="Times New Roman" w:hAnsi="Times New Roman" w:cs="Times New Roman"/>
          <w:color w:val="0000FF"/>
          <w:szCs w:val="24"/>
          <w:lang w:val="en-ID"/>
        </w:rPr>
        <w:t>) and its calculated theoretical voltage is negative (</w:t>
      </w:r>
      <m:oMath>
        <m:r>
          <w:rPr>
            <w:rFonts w:ascii="Cambria Math" w:hAnsi="Cambria Math" w:cs="Times New Roman"/>
            <w:color w:val="0000FF"/>
            <w:szCs w:val="24"/>
            <w:lang w:val="en-ID"/>
          </w:rPr>
          <m:t>-0.98</m:t>
        </m:r>
        <m:r>
          <m:rPr>
            <m:nor/>
          </m:rPr>
          <w:rPr>
            <w:rFonts w:ascii="Times New Roman" w:hAnsi="Times New Roman" w:cs="Times New Roman"/>
            <w:color w:val="0000FF"/>
            <w:szCs w:val="24"/>
            <w:lang w:val="en-ID"/>
          </w:rPr>
          <m:t> V</m:t>
        </m:r>
      </m:oMath>
      <w:r w:rsidRPr="00AE00EB">
        <w:rPr>
          <w:rFonts w:ascii="Times New Roman" w:hAnsi="Times New Roman" w:cs="Times New Roman"/>
          <w:color w:val="0000FF"/>
          <w:szCs w:val="24"/>
          <w:lang w:val="en-ID"/>
        </w:rPr>
        <w:t xml:space="preserve">), which implies that sustained, reversible lithium insertion would be energetically </w:t>
      </w:r>
      <w:proofErr w:type="spellStart"/>
      <w:r w:rsidRPr="00AE00EB">
        <w:rPr>
          <w:rFonts w:ascii="Times New Roman" w:hAnsi="Times New Roman" w:cs="Times New Roman"/>
          <w:color w:val="0000FF"/>
          <w:szCs w:val="24"/>
          <w:lang w:val="en-ID"/>
        </w:rPr>
        <w:t>unfavorable</w:t>
      </w:r>
      <w:proofErr w:type="spellEnd"/>
      <w:r w:rsidRPr="00AE00EB">
        <w:rPr>
          <w:rFonts w:ascii="Times New Roman" w:hAnsi="Times New Roman" w:cs="Times New Roman"/>
          <w:color w:val="0000FF"/>
          <w:szCs w:val="24"/>
          <w:lang w:val="en-ID"/>
        </w:rPr>
        <w:t xml:space="preserve">. Conversely, an ideal anode requires a balanced intermediate adsorption energy combined with a positive operating voltage—such as that demonstrated by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C</m:t>
            </m:r>
          </m:e>
          <m:sub>
            <m:r>
              <w:rPr>
                <w:rFonts w:ascii="Cambria Math" w:hAnsi="Cambria Math" w:cs="Times New Roman"/>
                <w:color w:val="0000FF"/>
                <w:szCs w:val="24"/>
                <w:lang w:val="en-ID"/>
              </w:rPr>
              <m:t>24</m:t>
            </m:r>
          </m:sub>
        </m:sSub>
      </m:oMath>
      <w:r w:rsidRPr="00AE00EB">
        <w:rPr>
          <w:rFonts w:ascii="Times New Roman" w:hAnsi="Times New Roman" w:cs="Times New Roman"/>
          <w:color w:val="0000FF"/>
          <w:szCs w:val="24"/>
          <w:lang w:val="en-ID"/>
        </w:rPr>
        <w:t xml:space="preserve"> (</w:t>
      </w:r>
      <m:oMath>
        <m:r>
          <w:rPr>
            <w:rFonts w:ascii="Cambria Math" w:hAnsi="Cambria Math" w:cs="Times New Roman"/>
            <w:color w:val="0000FF"/>
            <w:szCs w:val="24"/>
            <w:lang w:val="en-ID"/>
          </w:rPr>
          <m:t>0.65</m:t>
        </m:r>
        <m:r>
          <m:rPr>
            <m:nor/>
          </m:rPr>
          <w:rPr>
            <w:rFonts w:ascii="Times New Roman" w:hAnsi="Times New Roman" w:cs="Times New Roman"/>
            <w:color w:val="0000FF"/>
            <w:szCs w:val="24"/>
            <w:lang w:val="en-ID"/>
          </w:rPr>
          <m:t> V</m:t>
        </m:r>
      </m:oMath>
      <w:r w:rsidRPr="00AE00EB">
        <w:rPr>
          <w:rFonts w:ascii="Times New Roman" w:hAnsi="Times New Roman" w:cs="Times New Roman"/>
          <w:color w:val="0000FF"/>
          <w:szCs w:val="24"/>
          <w:lang w:val="en-ID"/>
        </w:rPr>
        <w:t xml:space="preserve">) and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Al</m:t>
            </m:r>
          </m:e>
          <m:sub>
            <m:r>
              <w:rPr>
                <w:rFonts w:ascii="Cambria Math" w:hAnsi="Cambria Math" w:cs="Times New Roman"/>
                <w:color w:val="0000FF"/>
                <w:szCs w:val="24"/>
                <w:lang w:val="en-ID"/>
              </w:rPr>
              <m:t>12</m:t>
            </m:r>
          </m:sub>
        </m:sSub>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P</m:t>
            </m:r>
          </m:e>
          <m:sub>
            <m:r>
              <w:rPr>
                <w:rFonts w:ascii="Cambria Math" w:hAnsi="Cambria Math" w:cs="Times New Roman"/>
                <w:color w:val="0000FF"/>
                <w:szCs w:val="24"/>
                <w:lang w:val="en-ID"/>
              </w:rPr>
              <m:t>12</m:t>
            </m:r>
          </m:sub>
        </m:sSub>
      </m:oMath>
      <w:r w:rsidRPr="00AE00EB">
        <w:rPr>
          <w:rFonts w:ascii="Times New Roman" w:hAnsi="Times New Roman" w:cs="Times New Roman"/>
          <w:color w:val="0000FF"/>
          <w:szCs w:val="24"/>
          <w:lang w:val="en-ID"/>
        </w:rPr>
        <w:t xml:space="preserve"> (</w:t>
      </w:r>
      <m:oMath>
        <m:r>
          <w:rPr>
            <w:rFonts w:ascii="Cambria Math" w:hAnsi="Cambria Math" w:cs="Times New Roman"/>
            <w:color w:val="0000FF"/>
            <w:szCs w:val="24"/>
            <w:lang w:val="en-ID"/>
          </w:rPr>
          <m:t>0.30</m:t>
        </m:r>
        <m:r>
          <m:rPr>
            <m:nor/>
          </m:rPr>
          <w:rPr>
            <w:rFonts w:ascii="Times New Roman" w:hAnsi="Times New Roman" w:cs="Times New Roman"/>
            <w:color w:val="0000FF"/>
            <w:szCs w:val="24"/>
            <w:lang w:val="en-ID"/>
          </w:rPr>
          <m:t> V</m:t>
        </m:r>
      </m:oMath>
      <w:r w:rsidRPr="00AE00EB">
        <w:rPr>
          <w:rFonts w:ascii="Times New Roman" w:hAnsi="Times New Roman" w:cs="Times New Roman"/>
          <w:color w:val="0000FF"/>
          <w:szCs w:val="24"/>
          <w:lang w:val="en-ID"/>
        </w:rPr>
        <w:t xml:space="preserve">). These materials provide sufficient retention without creating kinetic bottlenecks that impede </w:t>
      </w:r>
      <w:proofErr w:type="spellStart"/>
      <w:r w:rsidRPr="00AE00EB">
        <w:rPr>
          <w:rFonts w:ascii="Times New Roman" w:hAnsi="Times New Roman" w:cs="Times New Roman"/>
          <w:color w:val="0000FF"/>
          <w:szCs w:val="24"/>
          <w:lang w:val="en-ID"/>
        </w:rPr>
        <w:t>delithiation</w:t>
      </w:r>
      <w:proofErr w:type="spellEnd"/>
      <w:r w:rsidRPr="00AE00EB">
        <w:rPr>
          <w:rFonts w:ascii="Times New Roman" w:hAnsi="Times New Roman" w:cs="Times New Roman"/>
          <w:color w:val="0000FF"/>
          <w:szCs w:val="24"/>
          <w:lang w:val="en-ID"/>
        </w:rPr>
        <w:t>. We have expanded Section 4.3 of the revised manuscript to explicitly address this balance between binding strength, theoretical voltage, and cycling reversibility.</w:t>
      </w:r>
    </w:p>
    <w:p w14:paraId="6A136DF0" w14:textId="7FDA42ED" w:rsidR="004F6473" w:rsidRPr="00AE00EB" w:rsidRDefault="004F6473" w:rsidP="004F6473">
      <w:pPr>
        <w:spacing w:line="276" w:lineRule="auto"/>
        <w:ind w:firstLine="567"/>
        <w:jc w:val="both"/>
        <w:rPr>
          <w:rFonts w:ascii="Times New Roman" w:hAnsi="Times New Roman" w:cs="Times New Roman"/>
          <w:color w:val="0000FF"/>
          <w:szCs w:val="24"/>
        </w:rPr>
      </w:pPr>
    </w:p>
    <w:p w14:paraId="3BF4053B" w14:textId="64962EA9" w:rsidR="004F6473" w:rsidRPr="00AE00EB" w:rsidRDefault="004F6473" w:rsidP="004F6473">
      <w:pPr>
        <w:spacing w:line="276" w:lineRule="auto"/>
        <w:jc w:val="both"/>
        <w:rPr>
          <w:rFonts w:ascii="Times New Roman" w:hAnsi="Times New Roman" w:cs="Times New Roman"/>
          <w:color w:val="0000FF"/>
          <w:szCs w:val="24"/>
        </w:rPr>
      </w:pPr>
      <w:r w:rsidRPr="00AE00EB">
        <w:rPr>
          <w:rFonts w:ascii="Times New Roman" w:hAnsi="Times New Roman" w:cs="Times New Roman"/>
          <w:color w:val="0000FF"/>
          <w:szCs w:val="24"/>
        </w:rPr>
        <w:t xml:space="preserve">(Page </w:t>
      </w:r>
      <w:r w:rsidR="000F72A4" w:rsidRPr="00AE00EB">
        <w:rPr>
          <w:rFonts w:ascii="Times New Roman" w:hAnsi="Times New Roman" w:cs="Times New Roman"/>
          <w:color w:val="0000FF"/>
          <w:szCs w:val="24"/>
        </w:rPr>
        <w:t>8</w:t>
      </w:r>
      <w:r w:rsidRPr="00AE00EB">
        <w:rPr>
          <w:rFonts w:ascii="Times New Roman" w:hAnsi="Times New Roman" w:cs="Times New Roman"/>
          <w:color w:val="0000FF"/>
          <w:szCs w:val="24"/>
        </w:rPr>
        <w:t xml:space="preserve">: Line </w:t>
      </w:r>
      <w:r w:rsidR="00A50A2B">
        <w:rPr>
          <w:rFonts w:ascii="Times New Roman" w:hAnsi="Times New Roman" w:cs="Times New Roman"/>
          <w:color w:val="0000FF"/>
          <w:szCs w:val="24"/>
        </w:rPr>
        <w:t>6</w:t>
      </w:r>
      <w:r w:rsidR="000F72A4" w:rsidRPr="00AE00EB">
        <w:rPr>
          <w:rFonts w:ascii="Times New Roman" w:hAnsi="Times New Roman" w:cs="Times New Roman"/>
          <w:color w:val="0000FF"/>
          <w:szCs w:val="24"/>
        </w:rPr>
        <w:t>-</w:t>
      </w:r>
      <w:r w:rsidRPr="00AE00EB">
        <w:rPr>
          <w:rFonts w:ascii="Times New Roman" w:hAnsi="Times New Roman" w:cs="Times New Roman"/>
          <w:color w:val="0000FF"/>
          <w:szCs w:val="24"/>
        </w:rPr>
        <w:t>1</w:t>
      </w:r>
      <w:r w:rsidR="00A50A2B">
        <w:rPr>
          <w:rFonts w:ascii="Times New Roman" w:hAnsi="Times New Roman" w:cs="Times New Roman"/>
          <w:color w:val="0000FF"/>
          <w:szCs w:val="24"/>
        </w:rPr>
        <w:t>4)</w:t>
      </w:r>
      <w:r w:rsidRPr="00AE00EB">
        <w:rPr>
          <w:rFonts w:ascii="Times New Roman" w:hAnsi="Times New Roman" w:cs="Times New Roman"/>
          <w:color w:val="0000FF"/>
          <w:szCs w:val="24"/>
        </w:rPr>
        <w:t xml:space="preserve">: </w:t>
      </w:r>
    </w:p>
    <w:p w14:paraId="5424D1A6" w14:textId="5F006217" w:rsidR="005C0B4F" w:rsidRPr="00A50A2B" w:rsidRDefault="00A50A2B" w:rsidP="00A50A2B">
      <w:pPr>
        <w:spacing w:line="276" w:lineRule="auto"/>
        <w:ind w:firstLine="567"/>
        <w:jc w:val="both"/>
        <w:rPr>
          <w:rFonts w:ascii="Times New Roman" w:hAnsi="Times New Roman" w:cs="Times New Roman"/>
          <w:szCs w:val="24"/>
          <w:lang w:val="en-ID"/>
        </w:rPr>
      </w:pPr>
      <w:r w:rsidRPr="00B97FD0">
        <w:rPr>
          <w:rFonts w:ascii="Times New Roman" w:hAnsi="Times New Roman" w:cs="Times New Roman"/>
          <w:szCs w:val="24"/>
          <w:highlight w:val="yellow"/>
          <w:lang w:val="en-ID"/>
        </w:rPr>
        <w:t xml:space="preserve">It is worth noting that excessively strong adsorption—such as the massive ionic binding energy seen in </w:t>
      </w:r>
      <m:oMath>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Be</m:t>
            </m:r>
          </m:e>
          <m:sub>
            <m:r>
              <w:rPr>
                <w:rFonts w:ascii="Cambria Math" w:hAnsi="Cambria Math" w:cs="Times New Roman"/>
                <w:szCs w:val="24"/>
                <w:highlight w:val="yellow"/>
                <w:lang w:val="en-ID"/>
              </w:rPr>
              <m:t>12</m:t>
            </m:r>
          </m:sub>
        </m:sSub>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O</m:t>
            </m:r>
          </m:e>
          <m:sub>
            <m:r>
              <w:rPr>
                <w:rFonts w:ascii="Cambria Math" w:hAnsi="Cambria Math" w:cs="Times New Roman"/>
                <w:szCs w:val="24"/>
                <w:highlight w:val="yellow"/>
                <w:lang w:val="en-ID"/>
              </w:rPr>
              <m:t>12</m:t>
            </m:r>
          </m:sub>
        </m:sSub>
      </m:oMath>
      <w:r w:rsidRPr="00B97FD0">
        <w:rPr>
          <w:rFonts w:ascii="Times New Roman" w:hAnsi="Times New Roman" w:cs="Times New Roman"/>
          <w:szCs w:val="24"/>
          <w:highlight w:val="yellow"/>
          <w:lang w:val="en-ID"/>
        </w:rPr>
        <w:t xml:space="preserve"> (−12.79 eV)—is not always advantageous for rechargeable batteries. While high exothermic adsorption suggests high thermodynamic stability, overly strong local binding can create kinetic traps, hinder lithium-ion diffusion, and impede the extraction process during delithiation [7, 26]. Furthermore, combined with its negative theoretical voltage, </w:t>
      </w:r>
      <m:oMath>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Be</m:t>
            </m:r>
          </m:e>
          <m:sub>
            <m:r>
              <w:rPr>
                <w:rFonts w:ascii="Cambria Math" w:hAnsi="Cambria Math" w:cs="Times New Roman"/>
                <w:szCs w:val="24"/>
                <w:highlight w:val="yellow"/>
                <w:lang w:val="en-ID"/>
              </w:rPr>
              <m:t>12</m:t>
            </m:r>
          </m:sub>
        </m:sSub>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O</m:t>
            </m:r>
          </m:e>
          <m:sub>
            <m:r>
              <w:rPr>
                <w:rFonts w:ascii="Cambria Math" w:hAnsi="Cambria Math" w:cs="Times New Roman"/>
                <w:szCs w:val="24"/>
                <w:highlight w:val="yellow"/>
                <w:lang w:val="en-ID"/>
              </w:rPr>
              <m:t>12</m:t>
            </m:r>
          </m:sub>
        </m:sSub>
      </m:oMath>
      <w:r w:rsidRPr="00B97FD0">
        <w:rPr>
          <w:rFonts w:ascii="Times New Roman" w:hAnsi="Times New Roman" w:cs="Times New Roman"/>
          <w:szCs w:val="24"/>
          <w:highlight w:val="yellow"/>
          <w:lang w:val="en-ID"/>
        </w:rPr>
        <w:t xml:space="preserve"> fails to support spontaneous, reversible cycling. Therefore, an optimal anode material requires a delicate balance: strong enough adsorption to prevent clustering, yet moderate enough (coupled with a positive operating voltage, as observed in </w:t>
      </w:r>
      <m:oMath>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C</m:t>
            </m:r>
          </m:e>
          <m:sub>
            <m:r>
              <w:rPr>
                <w:rFonts w:ascii="Cambria Math" w:hAnsi="Cambria Math" w:cs="Times New Roman"/>
                <w:szCs w:val="24"/>
                <w:highlight w:val="yellow"/>
                <w:lang w:val="en-ID"/>
              </w:rPr>
              <m:t>24</m:t>
            </m:r>
          </m:sub>
        </m:sSub>
      </m:oMath>
      <w:r w:rsidRPr="00B97FD0">
        <w:rPr>
          <w:rFonts w:ascii="Times New Roman" w:hAnsi="Times New Roman" w:cs="Times New Roman"/>
          <w:szCs w:val="24"/>
          <w:highlight w:val="yellow"/>
          <w:lang w:val="en-ID"/>
        </w:rPr>
        <w:t xml:space="preserve"> and </w:t>
      </w:r>
      <m:oMath>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Al</m:t>
            </m:r>
          </m:e>
          <m:sub>
            <m:r>
              <w:rPr>
                <w:rFonts w:ascii="Cambria Math" w:hAnsi="Cambria Math" w:cs="Times New Roman"/>
                <w:szCs w:val="24"/>
                <w:highlight w:val="yellow"/>
                <w:lang w:val="en-ID"/>
              </w:rPr>
              <m:t>12</m:t>
            </m:r>
          </m:sub>
        </m:sSub>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P</m:t>
            </m:r>
          </m:e>
          <m:sub>
            <m:r>
              <w:rPr>
                <w:rFonts w:ascii="Cambria Math" w:hAnsi="Cambria Math" w:cs="Times New Roman"/>
                <w:szCs w:val="24"/>
                <w:highlight w:val="yellow"/>
                <w:lang w:val="en-ID"/>
              </w:rPr>
              <m:t>12</m:t>
            </m:r>
          </m:sub>
        </m:sSub>
      </m:oMath>
      <w:r w:rsidRPr="00B97FD0">
        <w:rPr>
          <w:rFonts w:ascii="Times New Roman" w:hAnsi="Times New Roman" w:cs="Times New Roman"/>
          <w:szCs w:val="24"/>
          <w:highlight w:val="yellow"/>
          <w:lang w:val="en-ID"/>
        </w:rPr>
        <w:t>) to ensure high reversibility and practical battery performance</w:t>
      </w:r>
      <w:r>
        <w:rPr>
          <w:rFonts w:ascii="Times New Roman" w:hAnsi="Times New Roman" w:cs="Times New Roman"/>
          <w:szCs w:val="24"/>
          <w:lang w:val="en-ID"/>
        </w:rPr>
        <w:t>.</w:t>
      </w:r>
    </w:p>
    <w:p w14:paraId="1303FAB0" w14:textId="77777777" w:rsidR="006C0851" w:rsidRPr="00AE00EB" w:rsidRDefault="006C0851" w:rsidP="00412E1E">
      <w:pPr>
        <w:spacing w:after="0" w:line="240" w:lineRule="auto"/>
        <w:jc w:val="both"/>
        <w:rPr>
          <w:rFonts w:ascii="Times New Roman" w:hAnsi="Times New Roman" w:cs="Times New Roman"/>
          <w:b/>
          <w:bCs/>
          <w:szCs w:val="24"/>
        </w:rPr>
      </w:pPr>
    </w:p>
    <w:p w14:paraId="7B76A082" w14:textId="77777777" w:rsidR="001D0A39" w:rsidRPr="00AE00EB" w:rsidRDefault="001D0A39" w:rsidP="001D0A39">
      <w:pPr>
        <w:spacing w:after="0" w:line="240" w:lineRule="auto"/>
        <w:jc w:val="both"/>
        <w:rPr>
          <w:rFonts w:ascii="Times New Roman" w:hAnsi="Times New Roman" w:cs="Times New Roman"/>
          <w:szCs w:val="24"/>
        </w:rPr>
      </w:pPr>
      <w:r w:rsidRPr="00AE00EB">
        <w:rPr>
          <w:rFonts w:ascii="Times New Roman" w:hAnsi="Times New Roman" w:cs="Times New Roman"/>
          <w:b/>
          <w:bCs/>
          <w:szCs w:val="24"/>
        </w:rPr>
        <w:t>Reviewer Comment point -5</w:t>
      </w:r>
      <w:r w:rsidRPr="00AE00EB">
        <w:rPr>
          <w:rFonts w:ascii="Times New Roman" w:hAnsi="Times New Roman" w:cs="Times New Roman"/>
          <w:szCs w:val="24"/>
        </w:rPr>
        <w:t>:</w:t>
      </w:r>
    </w:p>
    <w:p w14:paraId="1F279C8A" w14:textId="592BAC1C" w:rsidR="000F72A4" w:rsidRPr="00AE00EB" w:rsidRDefault="001D0A39" w:rsidP="001D0A39">
      <w:pPr>
        <w:spacing w:after="0" w:line="240" w:lineRule="auto"/>
        <w:jc w:val="both"/>
        <w:rPr>
          <w:rFonts w:ascii="Times New Roman" w:hAnsi="Times New Roman" w:cs="Times New Roman"/>
          <w:szCs w:val="24"/>
        </w:rPr>
      </w:pPr>
      <w:r w:rsidRPr="00AE00EB">
        <w:rPr>
          <w:rFonts w:ascii="Times New Roman" w:hAnsi="Times New Roman" w:cs="Times New Roman"/>
          <w:szCs w:val="24"/>
        </w:rPr>
        <w:t xml:space="preserve"> Figure 1 should be improved for clarity and readability. The HOMO-LUMO </w:t>
      </w:r>
      <w:proofErr w:type="spellStart"/>
      <w:r w:rsidRPr="00AE00EB">
        <w:rPr>
          <w:rFonts w:ascii="Times New Roman" w:hAnsi="Times New Roman" w:cs="Times New Roman"/>
          <w:szCs w:val="24"/>
        </w:rPr>
        <w:t>isosurfaces</w:t>
      </w:r>
      <w:proofErr w:type="spellEnd"/>
      <w:r w:rsidRPr="00AE00EB">
        <w:rPr>
          <w:rFonts w:ascii="Times New Roman" w:hAnsi="Times New Roman" w:cs="Times New Roman"/>
          <w:szCs w:val="24"/>
        </w:rPr>
        <w:t xml:space="preserve"> provide useful qualitative support for the calculated energy gaps, but several numerical labels and molecular structures are relatively small. Increasing the figure resolution, font size, and consistency of labels would improve presentation. The authors should also check the reference to “C12” in the discussion, which appears inconsistent with C24 used throughout the study. 6. The manuscript requires careful proofreading before final publication. There are several grammatical, formatting, punctuation, and terminology inconsistencies. Correcting these issues would significantly improve the professional presentation of the proceeding paper.</w:t>
      </w:r>
      <w:r w:rsidRPr="00AE00EB">
        <w:rPr>
          <w:rFonts w:ascii="Times New Roman" w:hAnsi="Times New Roman" w:cs="Times New Roman"/>
          <w:szCs w:val="24"/>
        </w:rPr>
        <w:br/>
      </w:r>
    </w:p>
    <w:p w14:paraId="639036D7" w14:textId="0CE67843" w:rsidR="001D0A39" w:rsidRPr="00AE00EB" w:rsidRDefault="001D0A39" w:rsidP="001D0A39">
      <w:pPr>
        <w:spacing w:after="0" w:line="240" w:lineRule="auto"/>
        <w:jc w:val="both"/>
        <w:rPr>
          <w:rFonts w:ascii="Times New Roman" w:hAnsi="Times New Roman" w:cs="Times New Roman"/>
          <w:b/>
          <w:bCs/>
          <w:color w:val="0000FF"/>
          <w:szCs w:val="24"/>
        </w:rPr>
      </w:pPr>
      <w:r w:rsidRPr="00AE00EB">
        <w:rPr>
          <w:rFonts w:ascii="Times New Roman" w:hAnsi="Times New Roman" w:cs="Times New Roman"/>
          <w:b/>
          <w:bCs/>
          <w:color w:val="0000FF"/>
          <w:szCs w:val="24"/>
        </w:rPr>
        <w:t>Response:</w:t>
      </w:r>
    </w:p>
    <w:p w14:paraId="67268005" w14:textId="77777777" w:rsidR="001D0A39" w:rsidRPr="00AE00EB" w:rsidRDefault="001D0A39" w:rsidP="001D0A39">
      <w:p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We sincerely thank the reviewer for their careful reading and constructive suggestions regarding the presentation and clarity of the manuscript.</w:t>
      </w:r>
    </w:p>
    <w:p w14:paraId="4B0A39A6" w14:textId="77777777" w:rsidR="001D0A39" w:rsidRPr="00AE00EB" w:rsidRDefault="001D0A39" w:rsidP="001D0A39">
      <w:pPr>
        <w:numPr>
          <w:ilvl w:val="0"/>
          <w:numId w:val="28"/>
        </w:num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b/>
          <w:bCs/>
          <w:color w:val="0000FF"/>
          <w:szCs w:val="24"/>
          <w:lang w:val="en-ID"/>
        </w:rPr>
        <w:t>Figure 1:</w:t>
      </w:r>
      <w:r w:rsidRPr="00AE00EB">
        <w:rPr>
          <w:rFonts w:ascii="Times New Roman" w:hAnsi="Times New Roman" w:cs="Times New Roman"/>
          <w:color w:val="0000FF"/>
          <w:szCs w:val="24"/>
          <w:lang w:val="en-ID"/>
        </w:rPr>
        <w:t xml:space="preserve"> We have regenerated Figure 1 at a higher resolution, increased the font sizes for all labels, and ensured consistent formatting across all molecular structures and orbital surfaces to improve readability.</w:t>
      </w:r>
    </w:p>
    <w:p w14:paraId="62527C7B" w14:textId="1CF587CE" w:rsidR="001D0A39" w:rsidRPr="00AE00EB" w:rsidRDefault="001D0A39" w:rsidP="001D0A39">
      <w:pPr>
        <w:numPr>
          <w:ilvl w:val="0"/>
          <w:numId w:val="28"/>
        </w:num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b/>
          <w:bCs/>
          <w:color w:val="0000FF"/>
          <w:szCs w:val="24"/>
          <w:lang w:val="en-ID"/>
        </w:rPr>
        <w:t>Typo Correction ("C12"):</w:t>
      </w:r>
      <w:r w:rsidRPr="00AE00EB">
        <w:rPr>
          <w:rFonts w:ascii="Times New Roman" w:hAnsi="Times New Roman" w:cs="Times New Roman"/>
          <w:color w:val="0000FF"/>
          <w:szCs w:val="24"/>
          <w:lang w:val="en-ID"/>
        </w:rPr>
        <w:t xml:space="preserve"> We thank the reviewer for catching the typographical error. We have thoroughly proofread the text and corrected all accidental references from "C12" to the correct formula,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C</m:t>
            </m:r>
          </m:e>
          <m:sub>
            <m:r>
              <w:rPr>
                <w:rFonts w:ascii="Cambria Math" w:hAnsi="Cambria Math" w:cs="Times New Roman"/>
                <w:color w:val="0000FF"/>
                <w:szCs w:val="24"/>
                <w:lang w:val="en-ID"/>
              </w:rPr>
              <m:t>24</m:t>
            </m:r>
          </m:sub>
        </m:sSub>
      </m:oMath>
      <w:r w:rsidRPr="00AE00EB">
        <w:rPr>
          <w:rFonts w:ascii="Times New Roman" w:hAnsi="Times New Roman" w:cs="Times New Roman"/>
          <w:color w:val="0000FF"/>
          <w:szCs w:val="24"/>
          <w:lang w:val="en-ID"/>
        </w:rPr>
        <w:t>, ensuring total consistency throughout the manuscript.</w:t>
      </w:r>
    </w:p>
    <w:p w14:paraId="002DA234" w14:textId="3F605503" w:rsidR="0032423E" w:rsidRPr="0032423E" w:rsidRDefault="001D0A39" w:rsidP="0032423E">
      <w:pPr>
        <w:numPr>
          <w:ilvl w:val="0"/>
          <w:numId w:val="28"/>
        </w:num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b/>
          <w:bCs/>
          <w:color w:val="0000FF"/>
          <w:szCs w:val="24"/>
          <w:lang w:val="en-ID"/>
        </w:rPr>
        <w:t>Proofreading:</w:t>
      </w:r>
      <w:r w:rsidRPr="00AE00EB">
        <w:rPr>
          <w:rFonts w:ascii="Times New Roman" w:hAnsi="Times New Roman" w:cs="Times New Roman"/>
          <w:color w:val="0000FF"/>
          <w:szCs w:val="24"/>
          <w:lang w:val="en-ID"/>
        </w:rPr>
        <w:t xml:space="preserve"> Following the reviewer's recommendation, we have thoroughly proofread the entire manuscript to correct grammatical errors, punctuation mistakes, and terminology inconsistencies, significantly improving the overall professional presentation.</w:t>
      </w:r>
    </w:p>
    <w:p w14:paraId="71B46062" w14:textId="77777777" w:rsidR="0032423E" w:rsidRPr="00576610" w:rsidRDefault="0032423E" w:rsidP="0032423E">
      <w:pPr>
        <w:spacing w:line="276" w:lineRule="auto"/>
        <w:ind w:firstLine="567"/>
        <w:jc w:val="center"/>
        <w:rPr>
          <w:rFonts w:ascii="Times New Roman" w:hAnsi="Times New Roman" w:cs="Times New Roman"/>
          <w:szCs w:val="24"/>
        </w:rPr>
      </w:pPr>
      <w:r>
        <w:rPr>
          <w:rFonts w:ascii="Times New Roman" w:hAnsi="Times New Roman" w:cs="Times New Roman"/>
          <w:noProof/>
          <w:szCs w:val="24"/>
        </w:rPr>
        <w:lastRenderedPageBreak/>
        <w:drawing>
          <wp:inline distT="0" distB="0" distL="0" distR="0" wp14:anchorId="1D3BA571" wp14:editId="1446B22D">
            <wp:extent cx="4403725" cy="6228784"/>
            <wp:effectExtent l="0" t="0" r="0" b="0"/>
            <wp:docPr id="3504992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a:extLst>
                        <a:ext uri="{28A0092B-C50C-407E-A947-70E740481C1C}">
                          <a14:useLocalDpi xmlns:a14="http://schemas.microsoft.com/office/drawing/2010/main" val="0"/>
                        </a:ext>
                      </a:extLst>
                    </a:blip>
                    <a:srcRect b="933"/>
                    <a:stretch>
                      <a:fillRect/>
                    </a:stretch>
                  </pic:blipFill>
                  <pic:spPr bwMode="auto">
                    <a:xfrm>
                      <a:off x="0" y="0"/>
                      <a:ext cx="4405629" cy="6231477"/>
                    </a:xfrm>
                    <a:prstGeom prst="rect">
                      <a:avLst/>
                    </a:prstGeom>
                    <a:noFill/>
                    <a:ln>
                      <a:noFill/>
                    </a:ln>
                    <a:extLst>
                      <a:ext uri="{53640926-AAD7-44D8-BBD7-CCE9431645EC}">
                        <a14:shadowObscured xmlns:a14="http://schemas.microsoft.com/office/drawing/2010/main"/>
                      </a:ext>
                    </a:extLst>
                  </pic:spPr>
                </pic:pic>
              </a:graphicData>
            </a:graphic>
          </wp:inline>
        </w:drawing>
      </w:r>
    </w:p>
    <w:p w14:paraId="2FE271FC" w14:textId="77777777" w:rsidR="0032423E" w:rsidRPr="00546143" w:rsidRDefault="0032423E" w:rsidP="0032423E">
      <w:pPr>
        <w:spacing w:line="276" w:lineRule="auto"/>
        <w:ind w:firstLine="567"/>
        <w:jc w:val="center"/>
        <w:rPr>
          <w:rFonts w:ascii="Times New Roman" w:hAnsi="Times New Roman" w:cs="Times New Roman"/>
          <w:szCs w:val="24"/>
        </w:rPr>
      </w:pPr>
      <w:r w:rsidRPr="0032423E">
        <w:rPr>
          <w:rFonts w:ascii="Times New Roman" w:hAnsi="Times New Roman" w:cs="Times New Roman"/>
          <w:b/>
          <w:bCs/>
          <w:szCs w:val="24"/>
          <w:highlight w:val="yellow"/>
        </w:rPr>
        <w:t>Fig. 1.</w:t>
      </w:r>
      <w:r w:rsidRPr="0032423E">
        <w:rPr>
          <w:rFonts w:ascii="Times New Roman" w:hAnsi="Times New Roman" w:cs="Times New Roman"/>
          <w:szCs w:val="24"/>
          <w:highlight w:val="yellow"/>
        </w:rPr>
        <w:t xml:space="preserve"> HOMO and LUMO </w:t>
      </w:r>
      <w:proofErr w:type="spellStart"/>
      <w:r w:rsidRPr="0032423E">
        <w:rPr>
          <w:rFonts w:ascii="Times New Roman" w:hAnsi="Times New Roman" w:cs="Times New Roman"/>
          <w:szCs w:val="24"/>
          <w:highlight w:val="yellow"/>
        </w:rPr>
        <w:t>isosurfaces</w:t>
      </w:r>
      <w:proofErr w:type="spellEnd"/>
      <w:r w:rsidRPr="0032423E">
        <w:rPr>
          <w:rFonts w:ascii="Times New Roman" w:hAnsi="Times New Roman" w:cs="Times New Roman"/>
          <w:szCs w:val="24"/>
          <w:highlight w:val="yellow"/>
        </w:rPr>
        <w:t xml:space="preserve"> of pristine Al</w:t>
      </w:r>
      <w:r w:rsidRPr="0032423E">
        <w:rPr>
          <w:rFonts w:ascii="Times New Roman" w:eastAsia="Times New Roman" w:hAnsi="Times New Roman" w:cs="Times New Roman"/>
          <w:szCs w:val="24"/>
          <w:highlight w:val="yellow"/>
          <w:vertAlign w:val="subscript"/>
          <w:lang w:val="id-ID" w:eastAsia="id-ID"/>
        </w:rPr>
        <w:t>12</w:t>
      </w:r>
      <w:r w:rsidRPr="0032423E">
        <w:rPr>
          <w:rFonts w:ascii="Times New Roman" w:hAnsi="Times New Roman" w:cs="Times New Roman"/>
          <w:szCs w:val="24"/>
          <w:highlight w:val="yellow"/>
        </w:rPr>
        <w:t>P</w:t>
      </w:r>
      <w:r w:rsidRPr="0032423E">
        <w:rPr>
          <w:rFonts w:ascii="Times New Roman" w:eastAsia="Times New Roman" w:hAnsi="Times New Roman" w:cs="Times New Roman"/>
          <w:szCs w:val="24"/>
          <w:highlight w:val="yellow"/>
          <w:vertAlign w:val="subscript"/>
          <w:lang w:val="id-ID" w:eastAsia="id-ID"/>
        </w:rPr>
        <w:t>12</w:t>
      </w:r>
      <w:r w:rsidRPr="0032423E">
        <w:rPr>
          <w:rFonts w:ascii="Times New Roman" w:hAnsi="Times New Roman" w:cs="Times New Roman"/>
          <w:szCs w:val="24"/>
          <w:highlight w:val="yellow"/>
        </w:rPr>
        <w:t>. Be</w:t>
      </w:r>
      <w:r w:rsidRPr="0032423E">
        <w:rPr>
          <w:rFonts w:ascii="Times New Roman" w:eastAsia="Times New Roman" w:hAnsi="Times New Roman" w:cs="Times New Roman"/>
          <w:szCs w:val="24"/>
          <w:highlight w:val="yellow"/>
          <w:vertAlign w:val="subscript"/>
          <w:lang w:val="id-ID" w:eastAsia="id-ID"/>
        </w:rPr>
        <w:t>12</w:t>
      </w:r>
      <w:r w:rsidRPr="0032423E">
        <w:rPr>
          <w:rFonts w:ascii="Times New Roman" w:hAnsi="Times New Roman" w:cs="Times New Roman"/>
          <w:szCs w:val="24"/>
          <w:highlight w:val="yellow"/>
        </w:rPr>
        <w:t>O</w:t>
      </w:r>
      <w:r w:rsidRPr="0032423E">
        <w:rPr>
          <w:rFonts w:ascii="Times New Roman" w:eastAsia="Times New Roman" w:hAnsi="Times New Roman" w:cs="Times New Roman"/>
          <w:szCs w:val="24"/>
          <w:highlight w:val="yellow"/>
          <w:vertAlign w:val="subscript"/>
          <w:lang w:val="id-ID" w:eastAsia="id-ID"/>
        </w:rPr>
        <w:t>12</w:t>
      </w:r>
      <w:r w:rsidRPr="0032423E">
        <w:rPr>
          <w:rFonts w:ascii="Times New Roman" w:hAnsi="Times New Roman" w:cs="Times New Roman"/>
          <w:szCs w:val="24"/>
          <w:highlight w:val="yellow"/>
        </w:rPr>
        <w:t>. B</w:t>
      </w:r>
      <w:r w:rsidRPr="0032423E">
        <w:rPr>
          <w:rFonts w:ascii="Times New Roman" w:eastAsia="Times New Roman" w:hAnsi="Times New Roman" w:cs="Times New Roman"/>
          <w:szCs w:val="24"/>
          <w:highlight w:val="yellow"/>
          <w:vertAlign w:val="subscript"/>
          <w:lang w:val="id-ID" w:eastAsia="id-ID"/>
        </w:rPr>
        <w:t>12</w:t>
      </w:r>
      <w:r w:rsidRPr="0032423E">
        <w:rPr>
          <w:rFonts w:ascii="Times New Roman" w:hAnsi="Times New Roman" w:cs="Times New Roman"/>
          <w:szCs w:val="24"/>
          <w:highlight w:val="yellow"/>
        </w:rPr>
        <w:t>N</w:t>
      </w:r>
      <w:r w:rsidRPr="0032423E">
        <w:rPr>
          <w:rFonts w:ascii="Times New Roman" w:eastAsia="Times New Roman" w:hAnsi="Times New Roman" w:cs="Times New Roman"/>
          <w:szCs w:val="24"/>
          <w:highlight w:val="yellow"/>
          <w:vertAlign w:val="subscript"/>
          <w:lang w:val="id-ID" w:eastAsia="id-ID"/>
        </w:rPr>
        <w:t>12</w:t>
      </w:r>
      <w:r w:rsidRPr="0032423E">
        <w:rPr>
          <w:rFonts w:ascii="Times New Roman" w:hAnsi="Times New Roman" w:cs="Times New Roman"/>
          <w:szCs w:val="24"/>
          <w:highlight w:val="yellow"/>
        </w:rPr>
        <w:t>. and C</w:t>
      </w:r>
      <w:r w:rsidRPr="0032423E">
        <w:rPr>
          <w:rFonts w:ascii="Times New Roman" w:eastAsia="Times New Roman" w:hAnsi="Times New Roman" w:cs="Times New Roman"/>
          <w:szCs w:val="24"/>
          <w:highlight w:val="yellow"/>
          <w:vertAlign w:val="subscript"/>
          <w:lang w:val="id-ID" w:eastAsia="id-ID"/>
        </w:rPr>
        <w:t>24</w:t>
      </w:r>
      <w:r w:rsidRPr="0032423E">
        <w:rPr>
          <w:rFonts w:ascii="Times New Roman" w:hAnsi="Times New Roman" w:cs="Times New Roman"/>
          <w:szCs w:val="24"/>
          <w:highlight w:val="yellow"/>
        </w:rPr>
        <w:t xml:space="preserve"> nanocages and their corresponding Li-adsorbed structures.</w:t>
      </w:r>
    </w:p>
    <w:p w14:paraId="03746ED9" w14:textId="77777777" w:rsidR="001D0A39" w:rsidRPr="0032423E" w:rsidRDefault="001D0A39" w:rsidP="001D0A39">
      <w:pPr>
        <w:spacing w:after="0" w:line="240" w:lineRule="auto"/>
        <w:jc w:val="both"/>
        <w:rPr>
          <w:rFonts w:ascii="Times New Roman" w:hAnsi="Times New Roman" w:cs="Times New Roman"/>
          <w:color w:val="0000FF"/>
          <w:szCs w:val="24"/>
        </w:rPr>
      </w:pPr>
    </w:p>
    <w:p w14:paraId="1C8CB5BD" w14:textId="77777777" w:rsidR="0032423E" w:rsidRDefault="0032423E" w:rsidP="001D0A39">
      <w:pPr>
        <w:spacing w:after="0" w:line="240" w:lineRule="auto"/>
        <w:jc w:val="both"/>
        <w:rPr>
          <w:rFonts w:ascii="Times New Roman" w:hAnsi="Times New Roman" w:cs="Times New Roman"/>
          <w:szCs w:val="24"/>
        </w:rPr>
      </w:pPr>
      <w:r>
        <w:rPr>
          <w:rFonts w:ascii="Times New Roman" w:hAnsi="Times New Roman" w:cs="Times New Roman"/>
          <w:szCs w:val="24"/>
        </w:rPr>
        <w:t>\</w:t>
      </w:r>
    </w:p>
    <w:p w14:paraId="6E8CD7FD" w14:textId="342F7AF4" w:rsidR="001D0A39" w:rsidRPr="00AE00EB" w:rsidRDefault="001D0A39" w:rsidP="001D0A39">
      <w:pPr>
        <w:spacing w:after="0" w:line="240" w:lineRule="auto"/>
        <w:jc w:val="both"/>
        <w:rPr>
          <w:rFonts w:ascii="Times New Roman" w:hAnsi="Times New Roman" w:cs="Times New Roman"/>
          <w:szCs w:val="24"/>
        </w:rPr>
      </w:pPr>
      <w:r w:rsidRPr="00AE00EB">
        <w:rPr>
          <w:rFonts w:ascii="Times New Roman" w:hAnsi="Times New Roman" w:cs="Times New Roman"/>
          <w:szCs w:val="24"/>
        </w:rPr>
        <w:t>Reviewer #2</w:t>
      </w:r>
    </w:p>
    <w:p w14:paraId="27C23515" w14:textId="77777777" w:rsidR="001D0A39" w:rsidRPr="00AE00EB" w:rsidRDefault="001D0A39" w:rsidP="001D0A39">
      <w:pPr>
        <w:spacing w:after="0" w:line="240" w:lineRule="auto"/>
        <w:jc w:val="both"/>
        <w:rPr>
          <w:rFonts w:ascii="Times New Roman" w:hAnsi="Times New Roman" w:cs="Times New Roman"/>
          <w:szCs w:val="24"/>
        </w:rPr>
      </w:pPr>
      <w:r w:rsidRPr="00AE00EB">
        <w:rPr>
          <w:rFonts w:ascii="Times New Roman" w:hAnsi="Times New Roman" w:cs="Times New Roman"/>
          <w:szCs w:val="24"/>
        </w:rPr>
        <w:lastRenderedPageBreak/>
        <w:t>This manuscript investigates the potential application of C24, B12N12, Be12O12, and Al12P12 nanocages as lithium-ion battery anode materials using DFT calculations. The results provide useful preliminary theoretical insight, particularly the identification of C24 and Al12P12 as comparatively promising candidates.</w:t>
      </w:r>
    </w:p>
    <w:p w14:paraId="75F0C2BC" w14:textId="77777777" w:rsidR="001D0A39" w:rsidRPr="00AE00EB" w:rsidRDefault="001D0A39" w:rsidP="001D0A39">
      <w:pPr>
        <w:spacing w:after="0" w:line="240" w:lineRule="auto"/>
        <w:jc w:val="both"/>
        <w:rPr>
          <w:rFonts w:ascii="Times New Roman" w:hAnsi="Times New Roman" w:cs="Times New Roman"/>
          <w:szCs w:val="24"/>
        </w:rPr>
      </w:pPr>
    </w:p>
    <w:p w14:paraId="2CF92D02" w14:textId="77777777" w:rsidR="001D0A39" w:rsidRPr="00AE00EB" w:rsidRDefault="001D0A39" w:rsidP="001D0A39">
      <w:pPr>
        <w:spacing w:after="0" w:line="240" w:lineRule="auto"/>
        <w:jc w:val="both"/>
        <w:rPr>
          <w:rFonts w:ascii="Times New Roman" w:hAnsi="Times New Roman" w:cs="Times New Roman"/>
          <w:szCs w:val="24"/>
        </w:rPr>
      </w:pPr>
    </w:p>
    <w:p w14:paraId="3B64B00F" w14:textId="416DDDAA" w:rsidR="001D0A39" w:rsidRPr="00AE00EB" w:rsidRDefault="001D0A39" w:rsidP="001D0A39">
      <w:pPr>
        <w:spacing w:after="0" w:line="240" w:lineRule="auto"/>
        <w:jc w:val="both"/>
        <w:rPr>
          <w:rFonts w:ascii="Times New Roman" w:hAnsi="Times New Roman" w:cs="Times New Roman"/>
          <w:b/>
          <w:bCs/>
          <w:szCs w:val="24"/>
        </w:rPr>
      </w:pPr>
      <w:r w:rsidRPr="00AE00EB">
        <w:rPr>
          <w:rFonts w:ascii="Times New Roman" w:hAnsi="Times New Roman" w:cs="Times New Roman"/>
          <w:b/>
          <w:bCs/>
          <w:szCs w:val="24"/>
        </w:rPr>
        <w:t>Reviewer Comment point -1:</w:t>
      </w:r>
    </w:p>
    <w:p w14:paraId="4693E780" w14:textId="4ABC786C" w:rsidR="001D0A39" w:rsidRPr="00AE00EB" w:rsidRDefault="001D0A39" w:rsidP="001D0A39">
      <w:pPr>
        <w:spacing w:after="0" w:line="240" w:lineRule="auto"/>
        <w:jc w:val="both"/>
        <w:rPr>
          <w:rFonts w:ascii="Times New Roman" w:hAnsi="Times New Roman" w:cs="Times New Roman"/>
          <w:szCs w:val="24"/>
        </w:rPr>
      </w:pPr>
      <w:r w:rsidRPr="00AE00EB">
        <w:rPr>
          <w:rFonts w:ascii="Times New Roman" w:hAnsi="Times New Roman" w:cs="Times New Roman"/>
          <w:szCs w:val="24"/>
        </w:rPr>
        <w:t>The reported work is entirely computational and uses Gaussian 16/</w:t>
      </w:r>
      <w:proofErr w:type="spellStart"/>
      <w:r w:rsidRPr="00AE00EB">
        <w:rPr>
          <w:rFonts w:ascii="Times New Roman" w:hAnsi="Times New Roman" w:cs="Times New Roman"/>
          <w:szCs w:val="24"/>
        </w:rPr>
        <w:t>GaussView</w:t>
      </w:r>
      <w:proofErr w:type="spellEnd"/>
      <w:r w:rsidRPr="00AE00EB">
        <w:rPr>
          <w:rFonts w:ascii="Times New Roman" w:hAnsi="Times New Roman" w:cs="Times New Roman"/>
          <w:szCs w:val="24"/>
        </w:rPr>
        <w:t xml:space="preserve"> rather than an experimental procedure. </w:t>
      </w:r>
    </w:p>
    <w:p w14:paraId="20B485A3" w14:textId="77777777" w:rsidR="001D0A39" w:rsidRPr="00AE00EB" w:rsidRDefault="001D0A39" w:rsidP="001D0A39">
      <w:pPr>
        <w:spacing w:after="0" w:line="240" w:lineRule="auto"/>
        <w:jc w:val="both"/>
        <w:rPr>
          <w:rFonts w:ascii="Times New Roman" w:hAnsi="Times New Roman" w:cs="Times New Roman"/>
          <w:b/>
          <w:bCs/>
          <w:color w:val="0000FF"/>
          <w:szCs w:val="24"/>
        </w:rPr>
      </w:pPr>
      <w:r w:rsidRPr="00AE00EB">
        <w:rPr>
          <w:rFonts w:ascii="Times New Roman" w:hAnsi="Times New Roman" w:cs="Times New Roman"/>
          <w:b/>
          <w:bCs/>
          <w:color w:val="0000FF"/>
          <w:szCs w:val="24"/>
        </w:rPr>
        <w:t>Response:</w:t>
      </w:r>
    </w:p>
    <w:p w14:paraId="5D6066AA" w14:textId="06673B8E" w:rsidR="001D0A39" w:rsidRPr="00AE00EB" w:rsidRDefault="001D0A39" w:rsidP="001D0A39">
      <w:pPr>
        <w:spacing w:after="0" w:line="240" w:lineRule="auto"/>
        <w:jc w:val="both"/>
        <w:rPr>
          <w:rFonts w:ascii="Times New Roman" w:hAnsi="Times New Roman" w:cs="Times New Roman"/>
          <w:szCs w:val="24"/>
        </w:rPr>
      </w:pPr>
      <w:r w:rsidRPr="00AE00EB">
        <w:rPr>
          <w:rFonts w:ascii="Times New Roman" w:hAnsi="Times New Roman" w:cs="Times New Roman"/>
          <w:color w:val="0000FF"/>
          <w:szCs w:val="24"/>
        </w:rPr>
        <w:t xml:space="preserve">We thank the reviewer for this observation. We have verified that the manuscript clearly reflects the purely computational nature of this study, utilizing Density Functional Theory (DFT) calculations via Gaussian 16 and </w:t>
      </w:r>
      <w:proofErr w:type="spellStart"/>
      <w:r w:rsidRPr="00AE00EB">
        <w:rPr>
          <w:rFonts w:ascii="Times New Roman" w:hAnsi="Times New Roman" w:cs="Times New Roman"/>
          <w:color w:val="0000FF"/>
          <w:szCs w:val="24"/>
        </w:rPr>
        <w:t>GaussView</w:t>
      </w:r>
      <w:proofErr w:type="spellEnd"/>
      <w:r w:rsidRPr="00AE00EB">
        <w:rPr>
          <w:rFonts w:ascii="Times New Roman" w:hAnsi="Times New Roman" w:cs="Times New Roman"/>
          <w:color w:val="0000FF"/>
          <w:szCs w:val="24"/>
        </w:rPr>
        <w:t xml:space="preserve"> 6.0 for structural screening and electronic property evaluation.</w:t>
      </w:r>
    </w:p>
    <w:p w14:paraId="0FFE7A2C" w14:textId="77777777" w:rsidR="001D0A39" w:rsidRPr="00AE00EB" w:rsidRDefault="001D0A39" w:rsidP="001D0A39">
      <w:pPr>
        <w:spacing w:after="0" w:line="240" w:lineRule="auto"/>
        <w:jc w:val="both"/>
        <w:rPr>
          <w:rFonts w:ascii="Times New Roman" w:hAnsi="Times New Roman" w:cs="Times New Roman"/>
          <w:szCs w:val="24"/>
        </w:rPr>
      </w:pPr>
    </w:p>
    <w:p w14:paraId="44BAB72D" w14:textId="77777777" w:rsidR="001D0A39" w:rsidRPr="00AE00EB" w:rsidRDefault="001D0A39" w:rsidP="001D0A39">
      <w:pPr>
        <w:spacing w:after="0" w:line="240" w:lineRule="auto"/>
        <w:jc w:val="both"/>
        <w:rPr>
          <w:rFonts w:ascii="Times New Roman" w:hAnsi="Times New Roman" w:cs="Times New Roman"/>
          <w:szCs w:val="24"/>
        </w:rPr>
      </w:pPr>
    </w:p>
    <w:p w14:paraId="72CFECD4" w14:textId="2DBD7921" w:rsidR="001D0A39" w:rsidRPr="00AE00EB" w:rsidRDefault="001D0A39" w:rsidP="001D0A39">
      <w:pPr>
        <w:spacing w:after="0" w:line="240" w:lineRule="auto"/>
        <w:jc w:val="both"/>
        <w:rPr>
          <w:rFonts w:ascii="Times New Roman" w:hAnsi="Times New Roman" w:cs="Times New Roman"/>
          <w:szCs w:val="24"/>
        </w:rPr>
      </w:pPr>
      <w:r w:rsidRPr="00AE00EB">
        <w:rPr>
          <w:rFonts w:ascii="Times New Roman" w:hAnsi="Times New Roman" w:cs="Times New Roman"/>
          <w:b/>
          <w:bCs/>
          <w:szCs w:val="24"/>
        </w:rPr>
        <w:t>Reviewer Comment point-2:</w:t>
      </w:r>
    </w:p>
    <w:p w14:paraId="6E6ADEE3" w14:textId="137E6406" w:rsidR="001D0A39" w:rsidRPr="00AE00EB" w:rsidRDefault="001D0A39" w:rsidP="001D0A39">
      <w:pPr>
        <w:spacing w:after="0" w:line="240" w:lineRule="auto"/>
        <w:jc w:val="both"/>
        <w:rPr>
          <w:rFonts w:ascii="Times New Roman" w:hAnsi="Times New Roman" w:cs="Times New Roman"/>
          <w:b/>
          <w:bCs/>
          <w:szCs w:val="24"/>
        </w:rPr>
      </w:pPr>
      <w:r w:rsidRPr="00AE00EB">
        <w:rPr>
          <w:rFonts w:ascii="Times New Roman" w:hAnsi="Times New Roman" w:cs="Times New Roman"/>
          <w:szCs w:val="24"/>
        </w:rPr>
        <w:t>It is currently written as “Effect of Potassium Adsorption on the Energy Gap,” whereas the study investigates lithium adsorption. This should be corrected to “Effect of Lithium Adsorption on the Energy Gap.”</w:t>
      </w:r>
    </w:p>
    <w:p w14:paraId="72D07875" w14:textId="77777777" w:rsidR="001D0A39" w:rsidRPr="00AE00EB" w:rsidRDefault="001D0A39" w:rsidP="001D0A39">
      <w:pPr>
        <w:spacing w:after="0" w:line="240" w:lineRule="auto"/>
        <w:jc w:val="both"/>
        <w:rPr>
          <w:rFonts w:ascii="Times New Roman" w:hAnsi="Times New Roman" w:cs="Times New Roman"/>
          <w:b/>
          <w:bCs/>
          <w:color w:val="0000FF"/>
          <w:szCs w:val="24"/>
        </w:rPr>
      </w:pPr>
      <w:r w:rsidRPr="00AE00EB">
        <w:rPr>
          <w:rFonts w:ascii="Times New Roman" w:hAnsi="Times New Roman" w:cs="Times New Roman"/>
          <w:b/>
          <w:bCs/>
          <w:color w:val="0000FF"/>
          <w:szCs w:val="24"/>
        </w:rPr>
        <w:t>Response:</w:t>
      </w:r>
    </w:p>
    <w:p w14:paraId="141A2D0D" w14:textId="41C7AFB5" w:rsidR="001D0A39" w:rsidRPr="00AE00EB" w:rsidRDefault="001D0A39" w:rsidP="001D0A39">
      <w:pPr>
        <w:spacing w:after="0" w:line="240" w:lineRule="auto"/>
        <w:jc w:val="both"/>
        <w:rPr>
          <w:rFonts w:ascii="Times New Roman" w:hAnsi="Times New Roman" w:cs="Times New Roman"/>
          <w:color w:val="0000FF"/>
          <w:szCs w:val="24"/>
        </w:rPr>
      </w:pPr>
      <w:r w:rsidRPr="00AE00EB">
        <w:rPr>
          <w:rFonts w:ascii="Times New Roman" w:hAnsi="Times New Roman" w:cs="Times New Roman"/>
          <w:color w:val="0000FF"/>
          <w:szCs w:val="24"/>
        </w:rPr>
        <w:t xml:space="preserve">We sincerely thank the reviewer for catching this oversight. We have corrected the subheading and text to accurately state </w:t>
      </w:r>
      <w:r w:rsidRPr="00AE00EB">
        <w:rPr>
          <w:rFonts w:ascii="Times New Roman" w:hAnsi="Times New Roman" w:cs="Times New Roman"/>
          <w:b/>
          <w:bCs/>
          <w:color w:val="0000FF"/>
          <w:szCs w:val="24"/>
        </w:rPr>
        <w:t>“Effect of Lithium Adsorption on the Energy Gap”</w:t>
      </w:r>
      <w:r w:rsidRPr="00AE00EB">
        <w:rPr>
          <w:rFonts w:ascii="Times New Roman" w:hAnsi="Times New Roman" w:cs="Times New Roman"/>
          <w:color w:val="0000FF"/>
          <w:szCs w:val="24"/>
        </w:rPr>
        <w:t xml:space="preserve"> to maintain consistency with the rest of the manuscript, which focuses exclusively on lithium-ion battery applications.</w:t>
      </w:r>
    </w:p>
    <w:p w14:paraId="027E78BA" w14:textId="77777777" w:rsidR="001D0A39" w:rsidRPr="00AE00EB" w:rsidRDefault="001D0A39" w:rsidP="001D0A39">
      <w:pPr>
        <w:spacing w:after="0" w:line="240" w:lineRule="auto"/>
        <w:jc w:val="both"/>
        <w:rPr>
          <w:rFonts w:ascii="Times New Roman" w:hAnsi="Times New Roman" w:cs="Times New Roman"/>
          <w:color w:val="0000FF"/>
          <w:szCs w:val="24"/>
        </w:rPr>
      </w:pPr>
    </w:p>
    <w:p w14:paraId="5A0C6256" w14:textId="77777777" w:rsidR="001D0A39" w:rsidRPr="00AE00EB" w:rsidRDefault="001D0A39" w:rsidP="001D0A39">
      <w:pPr>
        <w:spacing w:after="0" w:line="240" w:lineRule="auto"/>
        <w:jc w:val="both"/>
        <w:rPr>
          <w:rFonts w:ascii="Times New Roman" w:hAnsi="Times New Roman" w:cs="Times New Roman"/>
          <w:color w:val="0000FF"/>
          <w:szCs w:val="24"/>
        </w:rPr>
      </w:pPr>
    </w:p>
    <w:p w14:paraId="1501C5CD" w14:textId="76BCA203" w:rsidR="001D0A39" w:rsidRPr="00AE00EB" w:rsidRDefault="001D0A39" w:rsidP="001D0A39">
      <w:pPr>
        <w:spacing w:after="0" w:line="240" w:lineRule="auto"/>
        <w:jc w:val="both"/>
        <w:rPr>
          <w:rFonts w:ascii="Times New Roman" w:hAnsi="Times New Roman" w:cs="Times New Roman"/>
          <w:b/>
          <w:bCs/>
          <w:szCs w:val="24"/>
        </w:rPr>
      </w:pPr>
      <w:r w:rsidRPr="00AE00EB">
        <w:rPr>
          <w:rFonts w:ascii="Times New Roman" w:hAnsi="Times New Roman" w:cs="Times New Roman"/>
          <w:b/>
          <w:bCs/>
          <w:szCs w:val="24"/>
        </w:rPr>
        <w:t>Reviewer Comment point-3:</w:t>
      </w:r>
    </w:p>
    <w:p w14:paraId="10DA32B5" w14:textId="1DD7FF54" w:rsidR="005F496C" w:rsidRPr="00AE00EB" w:rsidRDefault="005F496C" w:rsidP="001D0A39">
      <w:pPr>
        <w:spacing w:after="0" w:line="240" w:lineRule="auto"/>
        <w:jc w:val="both"/>
        <w:rPr>
          <w:rFonts w:ascii="Times New Roman" w:hAnsi="Times New Roman" w:cs="Times New Roman"/>
          <w:szCs w:val="24"/>
        </w:rPr>
      </w:pPr>
      <w:r w:rsidRPr="00AE00EB">
        <w:rPr>
          <w:rFonts w:ascii="Times New Roman" w:hAnsi="Times New Roman" w:cs="Times New Roman"/>
          <w:szCs w:val="24"/>
        </w:rPr>
        <w:t>The heading “Application of Graphene Quantum Dots in Potassium-Ion Batteries (KIBs)” does not correspond to the actual study, which concerns nanocages for lithium-ion batteries. A suitable heading would be “Comparative Electrochemical Assessment of Nanocages for Lithium-Ion Battery Anodes.”</w:t>
      </w:r>
    </w:p>
    <w:p w14:paraId="0F9557A5" w14:textId="77777777" w:rsidR="005F496C" w:rsidRPr="00AE00EB" w:rsidRDefault="005F496C" w:rsidP="005F496C">
      <w:pPr>
        <w:spacing w:after="0" w:line="240" w:lineRule="auto"/>
        <w:jc w:val="both"/>
        <w:rPr>
          <w:rFonts w:ascii="Times New Roman" w:hAnsi="Times New Roman" w:cs="Times New Roman"/>
          <w:b/>
          <w:bCs/>
          <w:color w:val="0000FF"/>
          <w:szCs w:val="24"/>
        </w:rPr>
      </w:pPr>
      <w:r w:rsidRPr="00AE00EB">
        <w:rPr>
          <w:rFonts w:ascii="Times New Roman" w:hAnsi="Times New Roman" w:cs="Times New Roman"/>
          <w:b/>
          <w:bCs/>
          <w:color w:val="0000FF"/>
          <w:szCs w:val="24"/>
        </w:rPr>
        <w:t>Response:</w:t>
      </w:r>
    </w:p>
    <w:p w14:paraId="05364F85" w14:textId="1900A972" w:rsidR="005F496C" w:rsidRPr="00AE00EB" w:rsidRDefault="005F496C" w:rsidP="001D0A39">
      <w:pPr>
        <w:spacing w:after="0" w:line="240" w:lineRule="auto"/>
        <w:jc w:val="both"/>
        <w:rPr>
          <w:rFonts w:ascii="Times New Roman" w:hAnsi="Times New Roman" w:cs="Times New Roman"/>
          <w:color w:val="0000FF"/>
          <w:szCs w:val="24"/>
        </w:rPr>
      </w:pPr>
      <w:r w:rsidRPr="00AE00EB">
        <w:rPr>
          <w:rFonts w:ascii="Times New Roman" w:hAnsi="Times New Roman" w:cs="Times New Roman"/>
          <w:color w:val="0000FF"/>
          <w:szCs w:val="24"/>
        </w:rPr>
        <w:t>We sincerely thank the reviewer for pointing out this oversight. We agree that the previous heading was inconsistent with the scope of the study. We have updated Section 4.3 with the recommended heading, “Comparative Electrochemical Assessment of Nanocages for Lithium-Ion Battery Anodes,” to accurately reflect that the research investigates nanocages for lithium-ion (rather than potassium-ion) batteries.</w:t>
      </w:r>
    </w:p>
    <w:p w14:paraId="3B7F12D2" w14:textId="77777777" w:rsidR="001D0A39" w:rsidRPr="00AE00EB" w:rsidRDefault="001D0A39" w:rsidP="001D0A39">
      <w:pPr>
        <w:spacing w:after="0" w:line="240" w:lineRule="auto"/>
        <w:jc w:val="both"/>
        <w:rPr>
          <w:rFonts w:ascii="Times New Roman" w:hAnsi="Times New Roman" w:cs="Times New Roman"/>
          <w:color w:val="0000FF"/>
          <w:szCs w:val="24"/>
        </w:rPr>
      </w:pPr>
    </w:p>
    <w:p w14:paraId="1C7C9799" w14:textId="77777777" w:rsidR="001D0A39" w:rsidRPr="00AE00EB" w:rsidRDefault="001D0A39" w:rsidP="001D0A39">
      <w:pPr>
        <w:spacing w:after="0" w:line="240" w:lineRule="auto"/>
        <w:jc w:val="both"/>
        <w:rPr>
          <w:rFonts w:ascii="Times New Roman" w:hAnsi="Times New Roman" w:cs="Times New Roman"/>
          <w:color w:val="0000FF"/>
          <w:szCs w:val="24"/>
        </w:rPr>
      </w:pPr>
    </w:p>
    <w:p w14:paraId="7741025A" w14:textId="77777777" w:rsidR="005F496C" w:rsidRPr="00AE00EB" w:rsidRDefault="005F496C" w:rsidP="001D0A39">
      <w:pPr>
        <w:spacing w:after="0" w:line="240" w:lineRule="auto"/>
        <w:jc w:val="both"/>
        <w:rPr>
          <w:rFonts w:ascii="Times New Roman" w:hAnsi="Times New Roman" w:cs="Times New Roman"/>
          <w:color w:val="0000FF"/>
          <w:szCs w:val="24"/>
        </w:rPr>
      </w:pPr>
    </w:p>
    <w:p w14:paraId="326A3630" w14:textId="2CA35468" w:rsidR="005F496C" w:rsidRPr="00AE00EB" w:rsidRDefault="005F496C" w:rsidP="005F496C">
      <w:pPr>
        <w:spacing w:after="0" w:line="240" w:lineRule="auto"/>
        <w:jc w:val="both"/>
        <w:rPr>
          <w:rFonts w:ascii="Times New Roman" w:hAnsi="Times New Roman" w:cs="Times New Roman"/>
          <w:b/>
          <w:bCs/>
          <w:szCs w:val="24"/>
        </w:rPr>
      </w:pPr>
      <w:r w:rsidRPr="00AE00EB">
        <w:rPr>
          <w:rFonts w:ascii="Times New Roman" w:hAnsi="Times New Roman" w:cs="Times New Roman"/>
          <w:b/>
          <w:bCs/>
          <w:szCs w:val="24"/>
        </w:rPr>
        <w:t>Reviewer Comment point-4:</w:t>
      </w:r>
    </w:p>
    <w:p w14:paraId="547B18D4" w14:textId="75B0606B" w:rsidR="005F496C" w:rsidRPr="00AE00EB" w:rsidRDefault="005F496C" w:rsidP="005F496C">
      <w:pPr>
        <w:rPr>
          <w:rFonts w:ascii="Times New Roman" w:hAnsi="Times New Roman" w:cs="Times New Roman"/>
          <w:szCs w:val="24"/>
        </w:rPr>
      </w:pPr>
      <w:r w:rsidRPr="00AE00EB">
        <w:rPr>
          <w:rFonts w:ascii="Times New Roman" w:hAnsi="Times New Roman" w:cs="Times New Roman"/>
          <w:szCs w:val="24"/>
        </w:rPr>
        <w:lastRenderedPageBreak/>
        <w:t xml:space="preserve">Equation (3) and the accompanying description should explicitly define every energy term and explain how the calculated energy is converted into theoretical voltage. This is particularly important because theoretical voltage is one of the main parameters used to rank the candidate materials. </w:t>
      </w:r>
    </w:p>
    <w:p w14:paraId="37F619EF" w14:textId="77777777" w:rsidR="005F496C" w:rsidRPr="00AE00EB" w:rsidRDefault="005F496C" w:rsidP="005F496C">
      <w:pPr>
        <w:spacing w:after="0" w:line="240" w:lineRule="auto"/>
        <w:jc w:val="both"/>
        <w:rPr>
          <w:rFonts w:ascii="Times New Roman" w:hAnsi="Times New Roman" w:cs="Times New Roman"/>
          <w:b/>
          <w:bCs/>
          <w:color w:val="0000FF"/>
          <w:szCs w:val="24"/>
        </w:rPr>
      </w:pPr>
      <w:r w:rsidRPr="00AE00EB">
        <w:rPr>
          <w:rFonts w:ascii="Times New Roman" w:hAnsi="Times New Roman" w:cs="Times New Roman"/>
          <w:b/>
          <w:bCs/>
          <w:color w:val="0000FF"/>
          <w:szCs w:val="24"/>
        </w:rPr>
        <w:t>Response:</w:t>
      </w:r>
    </w:p>
    <w:p w14:paraId="61653A47" w14:textId="77777777" w:rsidR="005F496C" w:rsidRPr="00AE00EB" w:rsidRDefault="005F496C" w:rsidP="005F496C">
      <w:p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We thank the reviewer for pointing this out. We have thoroughly revised the text and Equation (3) in the manuscript. We corrected the previous typographical error, removed the unintended reference, and replaced it with the standard thermodynamic equation used to calculate theoretical operating voltage for lithium-ion battery anodes. Furthermore, we have added explicit definitions for every energy term (</w:t>
      </w:r>
      <m:oMath>
        <m:sSub>
          <m:sSubPr>
            <m:ctrlPr>
              <w:rPr>
                <w:rFonts w:ascii="Cambria Math" w:hAnsi="Cambria Math" w:cs="Times New Roman"/>
                <w:color w:val="0000FF"/>
                <w:szCs w:val="24"/>
                <w:lang w:val="en-ID"/>
              </w:rPr>
            </m:ctrlPr>
          </m:sSubPr>
          <m:e>
            <m:r>
              <w:rPr>
                <w:rFonts w:ascii="Cambria Math" w:hAnsi="Cambria Math" w:cs="Times New Roman"/>
                <w:color w:val="0000FF"/>
                <w:szCs w:val="24"/>
                <w:lang w:val="en-ID"/>
              </w:rPr>
              <m:t>E</m:t>
            </m:r>
          </m:e>
          <m:sub>
            <m:r>
              <m:rPr>
                <m:nor/>
              </m:rPr>
              <w:rPr>
                <w:rFonts w:ascii="Times New Roman" w:hAnsi="Times New Roman" w:cs="Times New Roman"/>
                <w:color w:val="0000FF"/>
                <w:szCs w:val="24"/>
                <w:lang w:val="en-ID"/>
              </w:rPr>
              <m:t>sys+Li</m:t>
            </m:r>
          </m:sub>
        </m:sSub>
      </m:oMath>
      <w:r w:rsidRPr="00AE00EB">
        <w:rPr>
          <w:rFonts w:ascii="Times New Roman" w:hAnsi="Times New Roman" w:cs="Times New Roman"/>
          <w:color w:val="0000FF"/>
          <w:szCs w:val="24"/>
          <w:lang w:val="en-ID"/>
        </w:rPr>
        <w:t xml:space="preserve">, </w:t>
      </w:r>
      <m:oMath>
        <m:sSub>
          <m:sSubPr>
            <m:ctrlPr>
              <w:rPr>
                <w:rFonts w:ascii="Cambria Math" w:hAnsi="Cambria Math" w:cs="Times New Roman"/>
                <w:color w:val="0000FF"/>
                <w:szCs w:val="24"/>
                <w:lang w:val="en-ID"/>
              </w:rPr>
            </m:ctrlPr>
          </m:sSubPr>
          <m:e>
            <m:r>
              <w:rPr>
                <w:rFonts w:ascii="Cambria Math" w:hAnsi="Cambria Math" w:cs="Times New Roman"/>
                <w:color w:val="0000FF"/>
                <w:szCs w:val="24"/>
                <w:lang w:val="en-ID"/>
              </w:rPr>
              <m:t>E</m:t>
            </m:r>
          </m:e>
          <m:sub>
            <m:r>
              <m:rPr>
                <m:nor/>
              </m:rPr>
              <w:rPr>
                <w:rFonts w:ascii="Times New Roman" w:hAnsi="Times New Roman" w:cs="Times New Roman"/>
                <w:color w:val="0000FF"/>
                <w:szCs w:val="24"/>
                <w:lang w:val="en-ID"/>
              </w:rPr>
              <m:t>sys</m:t>
            </m:r>
          </m:sub>
        </m:sSub>
      </m:oMath>
      <w:r w:rsidRPr="00AE00EB">
        <w:rPr>
          <w:rFonts w:ascii="Times New Roman" w:hAnsi="Times New Roman" w:cs="Times New Roman"/>
          <w:color w:val="0000FF"/>
          <w:szCs w:val="24"/>
          <w:lang w:val="en-ID"/>
        </w:rPr>
        <w:t xml:space="preserve">, </w:t>
      </w:r>
      <m:oMath>
        <m:sSub>
          <m:sSubPr>
            <m:ctrlPr>
              <w:rPr>
                <w:rFonts w:ascii="Cambria Math" w:hAnsi="Cambria Math" w:cs="Times New Roman"/>
                <w:color w:val="0000FF"/>
                <w:szCs w:val="24"/>
                <w:lang w:val="en-ID"/>
              </w:rPr>
            </m:ctrlPr>
          </m:sSubPr>
          <m:e>
            <m:r>
              <w:rPr>
                <w:rFonts w:ascii="Cambria Math" w:hAnsi="Cambria Math" w:cs="Times New Roman"/>
                <w:color w:val="0000FF"/>
                <w:szCs w:val="24"/>
                <w:lang w:val="en-ID"/>
              </w:rPr>
              <m:t>E</m:t>
            </m:r>
          </m:e>
          <m:sub>
            <m:r>
              <m:rPr>
                <m:nor/>
              </m:rPr>
              <w:rPr>
                <w:rFonts w:ascii="Times New Roman" w:hAnsi="Times New Roman" w:cs="Times New Roman"/>
                <w:color w:val="0000FF"/>
                <w:szCs w:val="24"/>
                <w:lang w:val="en-ID"/>
              </w:rPr>
              <m:t>Li</m:t>
            </m:r>
          </m:sub>
        </m:sSub>
      </m:oMath>
      <w:r w:rsidRPr="00AE00EB">
        <w:rPr>
          <w:rFonts w:ascii="Times New Roman" w:hAnsi="Times New Roman" w:cs="Times New Roman"/>
          <w:color w:val="0000FF"/>
          <w:szCs w:val="24"/>
          <w:lang w:val="en-ID"/>
        </w:rPr>
        <w:t xml:space="preserve">, </w:t>
      </w:r>
      <m:oMath>
        <m:r>
          <w:rPr>
            <w:rFonts w:ascii="Cambria Math" w:hAnsi="Cambria Math" w:cs="Times New Roman"/>
            <w:color w:val="0000FF"/>
            <w:szCs w:val="24"/>
            <w:lang w:val="en-ID"/>
          </w:rPr>
          <m:t>n</m:t>
        </m:r>
      </m:oMath>
      <w:r w:rsidRPr="00AE00EB">
        <w:rPr>
          <w:rFonts w:ascii="Times New Roman" w:hAnsi="Times New Roman" w:cs="Times New Roman"/>
          <w:color w:val="0000FF"/>
          <w:szCs w:val="24"/>
          <w:lang w:val="en-ID"/>
        </w:rPr>
        <w:t xml:space="preserve">, and </w:t>
      </w:r>
      <m:oMath>
        <m:r>
          <w:rPr>
            <w:rFonts w:ascii="Cambria Math" w:hAnsi="Cambria Math" w:cs="Times New Roman"/>
            <w:color w:val="0000FF"/>
            <w:szCs w:val="24"/>
            <w:lang w:val="en-ID"/>
          </w:rPr>
          <m:t>F</m:t>
        </m:r>
      </m:oMath>
      <w:r w:rsidRPr="00AE00EB">
        <w:rPr>
          <w:rFonts w:ascii="Times New Roman" w:hAnsi="Times New Roman" w:cs="Times New Roman"/>
          <w:color w:val="0000FF"/>
          <w:szCs w:val="24"/>
          <w:lang w:val="en-ID"/>
        </w:rPr>
        <w:t xml:space="preserve">) to ensure absolute clarity. </w:t>
      </w:r>
    </w:p>
    <w:p w14:paraId="6C650A8B" w14:textId="77777777" w:rsidR="005F496C" w:rsidRPr="00AE00EB" w:rsidRDefault="005F496C" w:rsidP="005F496C">
      <w:pPr>
        <w:spacing w:after="0" w:line="240" w:lineRule="auto"/>
        <w:jc w:val="both"/>
        <w:rPr>
          <w:rFonts w:ascii="Times New Roman" w:hAnsi="Times New Roman" w:cs="Times New Roman"/>
          <w:color w:val="0000FF"/>
          <w:szCs w:val="24"/>
          <w:lang w:val="en-ID"/>
        </w:rPr>
      </w:pPr>
    </w:p>
    <w:p w14:paraId="696B4519" w14:textId="0379A2BE" w:rsidR="005F496C" w:rsidRPr="00AE00EB" w:rsidRDefault="005F496C" w:rsidP="005F496C">
      <w:p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(Page 4: Line 7-16)</w:t>
      </w:r>
    </w:p>
    <w:p w14:paraId="005EEB72" w14:textId="77777777" w:rsidR="005F496C" w:rsidRPr="00AE00EB" w:rsidRDefault="005F496C" w:rsidP="001D0A39">
      <w:pPr>
        <w:spacing w:after="0" w:line="240" w:lineRule="auto"/>
        <w:jc w:val="both"/>
        <w:rPr>
          <w:rFonts w:ascii="Times New Roman" w:hAnsi="Times New Roman" w:cs="Times New Roman"/>
          <w:color w:val="0000FF"/>
          <w:szCs w:val="24"/>
          <w:lang w:val="en-ID"/>
        </w:rPr>
      </w:pPr>
    </w:p>
    <w:p w14:paraId="65B1ACE4" w14:textId="77777777" w:rsidR="00A50A2B" w:rsidRPr="008C27A0" w:rsidRDefault="00A50A2B" w:rsidP="00A50A2B">
      <w:pPr>
        <w:spacing w:line="276" w:lineRule="auto"/>
        <w:ind w:firstLine="567"/>
        <w:rPr>
          <w:rFonts w:ascii="Times New Roman" w:eastAsia="Times New Roman" w:hAnsi="Times New Roman" w:cs="Times New Roman"/>
          <w:szCs w:val="24"/>
          <w:highlight w:val="yellow"/>
          <w:lang w:val="en-ID" w:eastAsia="id-ID"/>
        </w:rPr>
      </w:pPr>
      <w:r w:rsidRPr="008C27A0">
        <w:rPr>
          <w:rFonts w:ascii="Times New Roman" w:eastAsia="Times New Roman" w:hAnsi="Times New Roman" w:cs="Times New Roman"/>
          <w:szCs w:val="24"/>
          <w:highlight w:val="yellow"/>
          <w:lang w:val="en-ID" w:eastAsia="id-ID"/>
        </w:rPr>
        <w:t>Finally, the theoretical average voltage (</w:t>
      </w:r>
      <m:oMath>
        <m:r>
          <w:rPr>
            <w:rFonts w:ascii="Cambria Math" w:eastAsia="Times New Roman" w:hAnsi="Cambria Math" w:cs="Times New Roman"/>
            <w:szCs w:val="24"/>
            <w:highlight w:val="yellow"/>
            <w:lang w:val="en-ID" w:eastAsia="id-ID"/>
          </w:rPr>
          <m:t>V</m:t>
        </m:r>
      </m:oMath>
      <w:r w:rsidRPr="008C27A0">
        <w:rPr>
          <w:rFonts w:ascii="Times New Roman" w:eastAsia="Times New Roman" w:hAnsi="Times New Roman" w:cs="Times New Roman"/>
          <w:szCs w:val="24"/>
          <w:highlight w:val="yellow"/>
          <w:lang w:val="en-ID" w:eastAsia="id-ID"/>
        </w:rPr>
        <w:t>) was calculated to evaluate the electrochemical feasibility of each nanocage as an anode material for lithium-ion batteries. The theoretical voltage is determined from the total energy change associated with the lithiation and delithiation processes, defined as:</w:t>
      </w:r>
    </w:p>
    <w:p w14:paraId="6C42939F" w14:textId="77777777" w:rsidR="00A50A2B" w:rsidRPr="008C27A0" w:rsidRDefault="00A50A2B" w:rsidP="00A50A2B">
      <w:pPr>
        <w:spacing w:line="276" w:lineRule="auto"/>
        <w:ind w:firstLine="567"/>
        <w:rPr>
          <w:rFonts w:ascii="Times New Roman" w:eastAsia="Times New Roman" w:hAnsi="Times New Roman" w:cs="Times New Roman"/>
          <w:szCs w:val="24"/>
          <w:highlight w:val="yellow"/>
          <w:lang w:val="pl-PL" w:eastAsia="id-ID"/>
        </w:rPr>
      </w:pPr>
      <m:oMathPara>
        <m:oMath>
          <m:r>
            <w:rPr>
              <w:rFonts w:ascii="Cambria Math" w:eastAsia="Times New Roman" w:hAnsi="Cambria Math" w:cs="Times New Roman"/>
              <w:szCs w:val="24"/>
              <w:highlight w:val="yellow"/>
            </w:rPr>
            <m:t>V</m:t>
          </m:r>
          <m:r>
            <w:rPr>
              <w:rFonts w:ascii="Cambria Math" w:eastAsia="Times New Roman" w:hAnsi="Cambria Math" w:cs="Times New Roman"/>
              <w:szCs w:val="24"/>
              <w:highlight w:val="yellow"/>
              <w:lang w:val="pl-PL"/>
            </w:rPr>
            <m:t>=-</m:t>
          </m:r>
          <m:f>
            <m:fPr>
              <m:ctrlPr>
                <w:rPr>
                  <w:rFonts w:ascii="Cambria Math" w:eastAsia="Times New Roman" w:hAnsi="Cambria Math" w:cs="Times New Roman"/>
                  <w:szCs w:val="24"/>
                  <w:highlight w:val="yellow"/>
                </w:rPr>
              </m:ctrlPr>
            </m:fPr>
            <m:num>
              <m:sSub>
                <m:sSubPr>
                  <m:ctrlPr>
                    <w:rPr>
                      <w:rFonts w:ascii="Cambria Math" w:eastAsia="Times New Roman" w:hAnsi="Cambria Math" w:cs="Times New Roman"/>
                      <w:szCs w:val="24"/>
                      <w:highlight w:val="yellow"/>
                    </w:rPr>
                  </m:ctrlPr>
                </m:sSubPr>
                <m:e>
                  <m:r>
                    <w:rPr>
                      <w:rFonts w:ascii="Cambria Math" w:eastAsia="Times New Roman" w:hAnsi="Cambria Math" w:cs="Times New Roman"/>
                      <w:szCs w:val="24"/>
                      <w:highlight w:val="yellow"/>
                    </w:rPr>
                    <m:t>E</m:t>
                  </m:r>
                </m:e>
                <m:sub>
                  <m:r>
                    <m:rPr>
                      <m:nor/>
                    </m:rPr>
                    <w:rPr>
                      <w:rFonts w:ascii="Times New Roman" w:eastAsia="Times New Roman" w:hAnsi="Times New Roman" w:cs="Times New Roman"/>
                      <w:szCs w:val="24"/>
                      <w:highlight w:val="yellow"/>
                      <w:lang w:val="pl-PL"/>
                    </w:rPr>
                    <m:t>sys+Li</m:t>
                  </m:r>
                </m:sub>
              </m:sSub>
              <m:r>
                <w:rPr>
                  <w:rFonts w:ascii="Cambria Math" w:eastAsia="Times New Roman" w:hAnsi="Cambria Math" w:cs="Times New Roman"/>
                  <w:szCs w:val="24"/>
                  <w:highlight w:val="yellow"/>
                  <w:lang w:val="pl-PL"/>
                </w:rPr>
                <m:t>-</m:t>
              </m:r>
              <m:sSub>
                <m:sSubPr>
                  <m:ctrlPr>
                    <w:rPr>
                      <w:rFonts w:ascii="Cambria Math" w:eastAsia="Times New Roman" w:hAnsi="Cambria Math" w:cs="Times New Roman"/>
                      <w:szCs w:val="24"/>
                      <w:highlight w:val="yellow"/>
                    </w:rPr>
                  </m:ctrlPr>
                </m:sSubPr>
                <m:e>
                  <m:r>
                    <w:rPr>
                      <w:rFonts w:ascii="Cambria Math" w:eastAsia="Times New Roman" w:hAnsi="Cambria Math" w:cs="Times New Roman"/>
                      <w:szCs w:val="24"/>
                      <w:highlight w:val="yellow"/>
                    </w:rPr>
                    <m:t>E</m:t>
                  </m:r>
                </m:e>
                <m:sub>
                  <m:r>
                    <m:rPr>
                      <m:nor/>
                    </m:rPr>
                    <w:rPr>
                      <w:rFonts w:ascii="Times New Roman" w:eastAsia="Times New Roman" w:hAnsi="Times New Roman" w:cs="Times New Roman"/>
                      <w:szCs w:val="24"/>
                      <w:highlight w:val="yellow"/>
                      <w:lang w:val="pl-PL"/>
                    </w:rPr>
                    <m:t>sys</m:t>
                  </m:r>
                </m:sub>
              </m:sSub>
              <m:r>
                <w:rPr>
                  <w:rFonts w:ascii="Cambria Math" w:eastAsia="Times New Roman" w:hAnsi="Cambria Math" w:cs="Times New Roman"/>
                  <w:szCs w:val="24"/>
                  <w:highlight w:val="yellow"/>
                  <w:lang w:val="pl-PL"/>
                </w:rPr>
                <m:t>-</m:t>
              </m:r>
              <m:r>
                <w:rPr>
                  <w:rFonts w:ascii="Cambria Math" w:eastAsia="Times New Roman" w:hAnsi="Cambria Math" w:cs="Times New Roman"/>
                  <w:szCs w:val="24"/>
                  <w:highlight w:val="yellow"/>
                </w:rPr>
                <m:t>n</m:t>
              </m:r>
              <m:sSub>
                <m:sSubPr>
                  <m:ctrlPr>
                    <w:rPr>
                      <w:rFonts w:ascii="Cambria Math" w:eastAsia="Times New Roman" w:hAnsi="Cambria Math" w:cs="Times New Roman"/>
                      <w:szCs w:val="24"/>
                      <w:highlight w:val="yellow"/>
                    </w:rPr>
                  </m:ctrlPr>
                </m:sSubPr>
                <m:e>
                  <m:r>
                    <w:rPr>
                      <w:rFonts w:ascii="Cambria Math" w:eastAsia="Times New Roman" w:hAnsi="Cambria Math" w:cs="Times New Roman"/>
                      <w:szCs w:val="24"/>
                      <w:highlight w:val="yellow"/>
                    </w:rPr>
                    <m:t>E</m:t>
                  </m:r>
                </m:e>
                <m:sub>
                  <m:r>
                    <m:rPr>
                      <m:nor/>
                    </m:rPr>
                    <w:rPr>
                      <w:rFonts w:ascii="Times New Roman" w:eastAsia="Times New Roman" w:hAnsi="Times New Roman" w:cs="Times New Roman"/>
                      <w:szCs w:val="24"/>
                      <w:highlight w:val="yellow"/>
                      <w:lang w:val="pl-PL"/>
                    </w:rPr>
                    <m:t>Li</m:t>
                  </m:r>
                </m:sub>
              </m:sSub>
            </m:num>
            <m:den>
              <m:r>
                <w:rPr>
                  <w:rFonts w:ascii="Cambria Math" w:eastAsia="Times New Roman" w:hAnsi="Cambria Math" w:cs="Times New Roman"/>
                  <w:szCs w:val="24"/>
                  <w:highlight w:val="yellow"/>
                </w:rPr>
                <m:t>nF</m:t>
              </m:r>
            </m:den>
          </m:f>
          <m:r>
            <w:rPr>
              <w:rFonts w:ascii="Cambria Math" w:eastAsia="Times New Roman" w:hAnsi="Cambria Math" w:cs="Times New Roman"/>
              <w:i/>
              <w:szCs w:val="24"/>
              <w:highlight w:val="yellow"/>
            </w:rPr>
            <m:t> </m:t>
          </m:r>
          <m:r>
            <m:rPr>
              <m:nor/>
            </m:rPr>
            <w:rPr>
              <w:rFonts w:ascii="Times New Roman" w:eastAsia="Times New Roman" w:hAnsi="Times New Roman" w:cs="Times New Roman"/>
              <w:szCs w:val="24"/>
              <w:highlight w:val="yellow"/>
              <w:lang w:val="pl-PL"/>
            </w:rPr>
            <m:t>(3)</m:t>
          </m:r>
        </m:oMath>
      </m:oMathPara>
    </w:p>
    <w:p w14:paraId="51263113" w14:textId="77777777" w:rsidR="00A50A2B" w:rsidRPr="008C27A0" w:rsidRDefault="00A50A2B" w:rsidP="00A50A2B">
      <w:pPr>
        <w:spacing w:line="276" w:lineRule="auto"/>
        <w:ind w:firstLine="567"/>
        <w:rPr>
          <w:rFonts w:ascii="Times New Roman" w:eastAsia="Times New Roman" w:hAnsi="Times New Roman" w:cs="Times New Roman"/>
          <w:szCs w:val="24"/>
          <w:lang w:val="en-ID" w:eastAsia="id-ID"/>
        </w:rPr>
      </w:pPr>
      <w:r w:rsidRPr="008C27A0">
        <w:rPr>
          <w:rFonts w:ascii="Times New Roman" w:eastAsia="Times New Roman" w:hAnsi="Times New Roman" w:cs="Times New Roman"/>
          <w:szCs w:val="24"/>
          <w:highlight w:val="yellow"/>
          <w:lang w:val="en-ID" w:eastAsia="id-ID"/>
        </w:rPr>
        <w:t xml:space="preserve">where </w:t>
      </w:r>
      <m:oMath>
        <m:sSub>
          <m:sSubPr>
            <m:ctrlPr>
              <w:rPr>
                <w:rFonts w:ascii="Cambria Math" w:eastAsia="Times New Roman" w:hAnsi="Cambria Math" w:cs="Times New Roman"/>
                <w:szCs w:val="24"/>
                <w:highlight w:val="yellow"/>
                <w:lang w:val="en-ID" w:eastAsia="id-ID"/>
              </w:rPr>
            </m:ctrlPr>
          </m:sSubPr>
          <m:e>
            <m:r>
              <w:rPr>
                <w:rFonts w:ascii="Cambria Math" w:eastAsia="Times New Roman" w:hAnsi="Cambria Math" w:cs="Times New Roman"/>
                <w:szCs w:val="24"/>
                <w:highlight w:val="yellow"/>
                <w:lang w:val="en-ID" w:eastAsia="id-ID"/>
              </w:rPr>
              <m:t>E</m:t>
            </m:r>
          </m:e>
          <m:sub>
            <m:r>
              <m:rPr>
                <m:nor/>
              </m:rPr>
              <w:rPr>
                <w:rFonts w:ascii="Times New Roman" w:eastAsia="Times New Roman" w:hAnsi="Times New Roman" w:cs="Times New Roman"/>
                <w:szCs w:val="24"/>
                <w:highlight w:val="yellow"/>
                <w:lang w:val="en-ID" w:eastAsia="id-ID"/>
              </w:rPr>
              <m:t>sys+Li</m:t>
            </m:r>
          </m:sub>
        </m:sSub>
      </m:oMath>
      <w:r w:rsidRPr="008C27A0">
        <w:rPr>
          <w:rFonts w:ascii="Times New Roman" w:eastAsia="Times New Roman" w:hAnsi="Times New Roman" w:cs="Times New Roman"/>
          <w:szCs w:val="24"/>
          <w:highlight w:val="yellow"/>
          <w:lang w:val="en-ID" w:eastAsia="id-ID"/>
        </w:rPr>
        <w:t xml:space="preserve"> is the total electronic energy of the Li-adsorbed nanocage system, </w:t>
      </w:r>
      <m:oMath>
        <m:sSub>
          <m:sSubPr>
            <m:ctrlPr>
              <w:rPr>
                <w:rFonts w:ascii="Cambria Math" w:eastAsia="Times New Roman" w:hAnsi="Cambria Math" w:cs="Times New Roman"/>
                <w:szCs w:val="24"/>
                <w:highlight w:val="yellow"/>
                <w:lang w:val="en-ID" w:eastAsia="id-ID"/>
              </w:rPr>
            </m:ctrlPr>
          </m:sSubPr>
          <m:e>
            <m:r>
              <w:rPr>
                <w:rFonts w:ascii="Cambria Math" w:eastAsia="Times New Roman" w:hAnsi="Cambria Math" w:cs="Times New Roman"/>
                <w:szCs w:val="24"/>
                <w:highlight w:val="yellow"/>
                <w:lang w:val="en-ID" w:eastAsia="id-ID"/>
              </w:rPr>
              <m:t>E</m:t>
            </m:r>
          </m:e>
          <m:sub>
            <m:r>
              <m:rPr>
                <m:nor/>
              </m:rPr>
              <w:rPr>
                <w:rFonts w:ascii="Times New Roman" w:eastAsia="Times New Roman" w:hAnsi="Times New Roman" w:cs="Times New Roman"/>
                <w:szCs w:val="24"/>
                <w:highlight w:val="yellow"/>
                <w:lang w:val="en-ID" w:eastAsia="id-ID"/>
              </w:rPr>
              <m:t>sys</m:t>
            </m:r>
          </m:sub>
        </m:sSub>
      </m:oMath>
      <w:r w:rsidRPr="008C27A0">
        <w:rPr>
          <w:rFonts w:ascii="Times New Roman" w:eastAsia="Times New Roman" w:hAnsi="Times New Roman" w:cs="Times New Roman"/>
          <w:szCs w:val="24"/>
          <w:highlight w:val="yellow"/>
          <w:lang w:val="en-ID" w:eastAsia="id-ID"/>
        </w:rPr>
        <w:t xml:space="preserve"> is the total electronic energy of the pristine nanocage, </w:t>
      </w:r>
      <m:oMath>
        <m:sSub>
          <m:sSubPr>
            <m:ctrlPr>
              <w:rPr>
                <w:rFonts w:ascii="Cambria Math" w:eastAsia="Times New Roman" w:hAnsi="Cambria Math" w:cs="Times New Roman"/>
                <w:szCs w:val="24"/>
                <w:highlight w:val="yellow"/>
                <w:lang w:val="en-ID" w:eastAsia="id-ID"/>
              </w:rPr>
            </m:ctrlPr>
          </m:sSubPr>
          <m:e>
            <m:r>
              <w:rPr>
                <w:rFonts w:ascii="Cambria Math" w:eastAsia="Times New Roman" w:hAnsi="Cambria Math" w:cs="Times New Roman"/>
                <w:szCs w:val="24"/>
                <w:highlight w:val="yellow"/>
                <w:lang w:val="en-ID" w:eastAsia="id-ID"/>
              </w:rPr>
              <m:t>E</m:t>
            </m:r>
          </m:e>
          <m:sub>
            <m:r>
              <m:rPr>
                <m:nor/>
              </m:rPr>
              <w:rPr>
                <w:rFonts w:ascii="Times New Roman" w:eastAsia="Times New Roman" w:hAnsi="Times New Roman" w:cs="Times New Roman"/>
                <w:szCs w:val="24"/>
                <w:highlight w:val="yellow"/>
                <w:lang w:val="en-ID" w:eastAsia="id-ID"/>
              </w:rPr>
              <m:t>Li</m:t>
            </m:r>
          </m:sub>
        </m:sSub>
      </m:oMath>
      <w:r w:rsidRPr="008C27A0">
        <w:rPr>
          <w:rFonts w:ascii="Times New Roman" w:eastAsia="Times New Roman" w:hAnsi="Times New Roman" w:cs="Times New Roman"/>
          <w:szCs w:val="24"/>
          <w:highlight w:val="yellow"/>
          <w:lang w:val="en-ID" w:eastAsia="id-ID"/>
        </w:rPr>
        <w:t xml:space="preserve"> is the energy per atom of bulk lithium metal </w:t>
      </w:r>
      <w:r w:rsidRPr="003534C4">
        <w:rPr>
          <w:rFonts w:ascii="Times New Roman" w:eastAsia="Times New Roman" w:hAnsi="Times New Roman" w:cs="Times New Roman"/>
          <w:szCs w:val="24"/>
          <w:highlight w:val="yellow"/>
          <w:lang w:val="en-ID" w:eastAsia="id-ID"/>
        </w:rPr>
        <w:t xml:space="preserve">reference, </w:t>
      </w:r>
      <m:oMath>
        <m:r>
          <w:rPr>
            <w:rFonts w:ascii="Cambria Math" w:eastAsia="Times New Roman" w:hAnsi="Cambria Math" w:cs="Times New Roman"/>
            <w:szCs w:val="24"/>
            <w:highlight w:val="yellow"/>
            <w:lang w:val="en-ID" w:eastAsia="id-ID"/>
          </w:rPr>
          <m:t>n</m:t>
        </m:r>
      </m:oMath>
      <w:r w:rsidRPr="003534C4">
        <w:rPr>
          <w:rFonts w:ascii="Times New Roman" w:eastAsia="Times New Roman" w:hAnsi="Times New Roman" w:cs="Times New Roman"/>
          <w:szCs w:val="24"/>
          <w:highlight w:val="yellow"/>
          <w:lang w:val="en-ID" w:eastAsia="id-ID"/>
        </w:rPr>
        <w:t xml:space="preserve"> is the number of transferred electrons, and </w:t>
      </w:r>
      <m:oMath>
        <m:r>
          <w:rPr>
            <w:rFonts w:ascii="Cambria Math" w:eastAsia="Times New Roman" w:hAnsi="Cambria Math" w:cs="Times New Roman"/>
            <w:szCs w:val="24"/>
            <w:highlight w:val="yellow"/>
            <w:lang w:val="en-ID" w:eastAsia="id-ID"/>
          </w:rPr>
          <m:t>F</m:t>
        </m:r>
      </m:oMath>
      <w:r w:rsidRPr="003534C4">
        <w:rPr>
          <w:rFonts w:ascii="Times New Roman" w:eastAsia="Times New Roman" w:hAnsi="Times New Roman" w:cs="Times New Roman"/>
          <w:szCs w:val="24"/>
          <w:highlight w:val="yellow"/>
          <w:lang w:val="en-ID" w:eastAsia="id-ID"/>
        </w:rPr>
        <w:t xml:space="preserve"> is the Faraday constant. The adsorption energy (</w:t>
      </w:r>
      <w:r w:rsidRPr="003534C4">
        <w:rPr>
          <w:rFonts w:ascii="Times New Roman" w:hAnsi="Times New Roman" w:cs="Times New Roman"/>
          <w:szCs w:val="24"/>
          <w:highlight w:val="yellow"/>
        </w:rPr>
        <w:t>E</w:t>
      </w:r>
      <w:r w:rsidRPr="003534C4">
        <w:rPr>
          <w:rFonts w:ascii="Times New Roman" w:hAnsi="Times New Roman" w:cs="Times New Roman"/>
          <w:szCs w:val="24"/>
          <w:highlight w:val="yellow"/>
          <w:vertAlign w:val="subscript"/>
        </w:rPr>
        <w:t>ads</w:t>
      </w:r>
      <w:r w:rsidRPr="003534C4">
        <w:rPr>
          <w:rFonts w:ascii="Times New Roman" w:eastAsia="Times New Roman" w:hAnsi="Times New Roman" w:cs="Times New Roman"/>
          <w:szCs w:val="24"/>
          <w:highlight w:val="yellow"/>
          <w:lang w:val="en-ID" w:eastAsia="id-ID"/>
        </w:rPr>
        <w:t xml:space="preserve">), energy gap </w:t>
      </w:r>
      <w:r w:rsidRPr="003534C4">
        <w:rPr>
          <w:rFonts w:ascii="Times New Roman" w:eastAsia="Times New Roman" w:hAnsi="Times New Roman" w:cs="Times New Roman"/>
          <w:szCs w:val="24"/>
          <w:highlight w:val="yellow"/>
          <w:lang w:val="id-ID" w:eastAsia="id-ID"/>
        </w:rPr>
        <w:t>(E</w:t>
      </w:r>
      <w:r w:rsidRPr="003534C4">
        <w:rPr>
          <w:rFonts w:ascii="Times New Roman" w:eastAsia="Times New Roman" w:hAnsi="Times New Roman" w:cs="Times New Roman"/>
          <w:szCs w:val="24"/>
          <w:highlight w:val="yellow"/>
          <w:vertAlign w:val="subscript"/>
          <w:lang w:val="id-ID" w:eastAsia="id-ID"/>
        </w:rPr>
        <w:t>g</w:t>
      </w:r>
      <w:r w:rsidRPr="003534C4">
        <w:rPr>
          <w:rFonts w:ascii="Times New Roman" w:eastAsia="Times New Roman" w:hAnsi="Times New Roman" w:cs="Times New Roman"/>
          <w:szCs w:val="24"/>
          <w:highlight w:val="yellow"/>
          <w:lang w:val="id-ID" w:eastAsia="id-ID"/>
        </w:rPr>
        <w:t>)</w:t>
      </w:r>
      <w:r w:rsidRPr="003534C4">
        <w:rPr>
          <w:rFonts w:ascii="Times New Roman" w:eastAsia="Times New Roman" w:hAnsi="Times New Roman" w:cs="Times New Roman"/>
          <w:szCs w:val="24"/>
          <w:highlight w:val="yellow"/>
          <w:lang w:val="en-ID" w:eastAsia="id-ID"/>
        </w:rPr>
        <w:t>, an</w:t>
      </w:r>
      <w:r w:rsidRPr="008C27A0">
        <w:rPr>
          <w:rFonts w:ascii="Times New Roman" w:eastAsia="Times New Roman" w:hAnsi="Times New Roman" w:cs="Times New Roman"/>
          <w:szCs w:val="24"/>
          <w:highlight w:val="yellow"/>
          <w:lang w:val="en-ID" w:eastAsia="id-ID"/>
        </w:rPr>
        <w:t xml:space="preserve">d theoretical voltage were then comparatively </w:t>
      </w:r>
      <w:proofErr w:type="spellStart"/>
      <w:r w:rsidRPr="008C27A0">
        <w:rPr>
          <w:rFonts w:ascii="Times New Roman" w:eastAsia="Times New Roman" w:hAnsi="Times New Roman" w:cs="Times New Roman"/>
          <w:szCs w:val="24"/>
          <w:highlight w:val="yellow"/>
          <w:lang w:val="en-ID" w:eastAsia="id-ID"/>
        </w:rPr>
        <w:t>analyzed</w:t>
      </w:r>
      <w:proofErr w:type="spellEnd"/>
      <w:r w:rsidRPr="008C27A0">
        <w:rPr>
          <w:rFonts w:ascii="Times New Roman" w:eastAsia="Times New Roman" w:hAnsi="Times New Roman" w:cs="Times New Roman"/>
          <w:szCs w:val="24"/>
          <w:highlight w:val="yellow"/>
          <w:lang w:val="en-ID" w:eastAsia="id-ID"/>
        </w:rPr>
        <w:t xml:space="preserve"> to determine the most promising nanocage structure for lithium-ion battery applications.</w:t>
      </w:r>
    </w:p>
    <w:p w14:paraId="06665B6E" w14:textId="77777777" w:rsidR="005F496C" w:rsidRPr="00AE00EB" w:rsidRDefault="005F496C" w:rsidP="001D0A39">
      <w:pPr>
        <w:spacing w:after="0" w:line="240" w:lineRule="auto"/>
        <w:jc w:val="both"/>
        <w:rPr>
          <w:rFonts w:ascii="Times New Roman" w:hAnsi="Times New Roman" w:cs="Times New Roman"/>
          <w:color w:val="0000FF"/>
          <w:szCs w:val="24"/>
          <w:lang w:val="en-ID"/>
        </w:rPr>
      </w:pPr>
    </w:p>
    <w:p w14:paraId="5DF2938B" w14:textId="77777777" w:rsidR="005F496C" w:rsidRPr="00AE00EB" w:rsidRDefault="005F496C" w:rsidP="001D0A39">
      <w:pPr>
        <w:spacing w:after="0" w:line="240" w:lineRule="auto"/>
        <w:jc w:val="both"/>
        <w:rPr>
          <w:rFonts w:ascii="Times New Roman" w:hAnsi="Times New Roman" w:cs="Times New Roman"/>
          <w:b/>
          <w:bCs/>
          <w:szCs w:val="24"/>
        </w:rPr>
      </w:pPr>
      <w:r w:rsidRPr="00AE00EB">
        <w:rPr>
          <w:rFonts w:ascii="Times New Roman" w:hAnsi="Times New Roman" w:cs="Times New Roman"/>
          <w:b/>
          <w:bCs/>
          <w:szCs w:val="24"/>
        </w:rPr>
        <w:t xml:space="preserve">Reviewer Comment point-5: </w:t>
      </w:r>
    </w:p>
    <w:p w14:paraId="72746B59" w14:textId="415466A5" w:rsidR="005F496C" w:rsidRPr="00AE00EB" w:rsidRDefault="005F496C" w:rsidP="001D0A39">
      <w:pPr>
        <w:spacing w:after="0" w:line="240" w:lineRule="auto"/>
        <w:jc w:val="both"/>
        <w:rPr>
          <w:rFonts w:ascii="Times New Roman" w:hAnsi="Times New Roman" w:cs="Times New Roman"/>
          <w:szCs w:val="24"/>
        </w:rPr>
      </w:pPr>
      <w:r w:rsidRPr="00AE00EB">
        <w:rPr>
          <w:rFonts w:ascii="Times New Roman" w:hAnsi="Times New Roman" w:cs="Times New Roman"/>
          <w:szCs w:val="24"/>
        </w:rPr>
        <w:t>The manuscript reports -0.63 V and -0.98 V, respectively, compared with positive values of 0.65 V for C24 and 0.30 V for Al12P12. The physical meaning and implication of these negative values for practical anode behavior should be briefly clarified.</w:t>
      </w:r>
    </w:p>
    <w:p w14:paraId="1F5668AB" w14:textId="77777777" w:rsidR="005F496C" w:rsidRPr="00AE00EB" w:rsidRDefault="005F496C" w:rsidP="005F496C">
      <w:pPr>
        <w:spacing w:after="0" w:line="240" w:lineRule="auto"/>
        <w:jc w:val="both"/>
        <w:rPr>
          <w:rFonts w:ascii="Times New Roman" w:hAnsi="Times New Roman" w:cs="Times New Roman"/>
          <w:color w:val="0000FF"/>
          <w:szCs w:val="24"/>
        </w:rPr>
      </w:pPr>
      <w:r w:rsidRPr="00AE00EB">
        <w:rPr>
          <w:rFonts w:ascii="Times New Roman" w:hAnsi="Times New Roman" w:cs="Times New Roman"/>
          <w:color w:val="0000FF"/>
          <w:szCs w:val="24"/>
        </w:rPr>
        <w:t>Response:</w:t>
      </w:r>
    </w:p>
    <w:p w14:paraId="6D124C13" w14:textId="0C033883" w:rsidR="005F496C" w:rsidRPr="00AE00EB" w:rsidRDefault="005F496C" w:rsidP="005F496C">
      <w:p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We thank the reviewer for this insightful comment. To clarify the discussion, we have expanded the manuscript to explain the physical meaning and practical implications of the negative theoretical voltages (</w:t>
      </w:r>
      <m:oMath>
        <m:r>
          <w:rPr>
            <w:rFonts w:ascii="Cambria Math" w:hAnsi="Cambria Math" w:cs="Times New Roman"/>
            <w:color w:val="0000FF"/>
            <w:szCs w:val="24"/>
            <w:lang w:val="en-ID"/>
          </w:rPr>
          <m:t>-0.63</m:t>
        </m:r>
        <m:r>
          <m:rPr>
            <m:nor/>
          </m:rPr>
          <w:rPr>
            <w:rFonts w:ascii="Times New Roman" w:hAnsi="Times New Roman" w:cs="Times New Roman"/>
            <w:color w:val="0000FF"/>
            <w:szCs w:val="24"/>
            <w:lang w:val="en-ID"/>
          </w:rPr>
          <m:t> V</m:t>
        </m:r>
      </m:oMath>
      <w:r w:rsidRPr="00AE00EB">
        <w:rPr>
          <w:rFonts w:ascii="Times New Roman" w:hAnsi="Times New Roman" w:cs="Times New Roman"/>
          <w:color w:val="0000FF"/>
          <w:szCs w:val="24"/>
          <w:lang w:val="en-ID"/>
        </w:rPr>
        <w:t xml:space="preserve"> for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B</m:t>
            </m:r>
          </m:e>
          <m:sub>
            <m:r>
              <w:rPr>
                <w:rFonts w:ascii="Cambria Math" w:hAnsi="Cambria Math" w:cs="Times New Roman"/>
                <w:color w:val="0000FF"/>
                <w:szCs w:val="24"/>
                <w:lang w:val="en-ID"/>
              </w:rPr>
              <m:t>12</m:t>
            </m:r>
          </m:sub>
        </m:sSub>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N</m:t>
            </m:r>
          </m:e>
          <m:sub>
            <m:r>
              <w:rPr>
                <w:rFonts w:ascii="Cambria Math" w:hAnsi="Cambria Math" w:cs="Times New Roman"/>
                <w:color w:val="0000FF"/>
                <w:szCs w:val="24"/>
                <w:lang w:val="en-ID"/>
              </w:rPr>
              <m:t>12</m:t>
            </m:r>
          </m:sub>
        </m:sSub>
      </m:oMath>
      <w:r w:rsidRPr="00AE00EB">
        <w:rPr>
          <w:rFonts w:ascii="Times New Roman" w:hAnsi="Times New Roman" w:cs="Times New Roman"/>
          <w:color w:val="0000FF"/>
          <w:szCs w:val="24"/>
          <w:lang w:val="en-ID"/>
        </w:rPr>
        <w:t xml:space="preserve"> and </w:t>
      </w:r>
      <m:oMath>
        <m:r>
          <w:rPr>
            <w:rFonts w:ascii="Cambria Math" w:hAnsi="Cambria Math" w:cs="Times New Roman"/>
            <w:color w:val="0000FF"/>
            <w:szCs w:val="24"/>
            <w:lang w:val="en-ID"/>
          </w:rPr>
          <m:t>-0.98</m:t>
        </m:r>
        <m:r>
          <m:rPr>
            <m:nor/>
          </m:rPr>
          <w:rPr>
            <w:rFonts w:ascii="Times New Roman" w:hAnsi="Times New Roman" w:cs="Times New Roman"/>
            <w:color w:val="0000FF"/>
            <w:szCs w:val="24"/>
            <w:lang w:val="en-ID"/>
          </w:rPr>
          <m:t> V</m:t>
        </m:r>
      </m:oMath>
      <w:r w:rsidRPr="00AE00EB">
        <w:rPr>
          <w:rFonts w:ascii="Times New Roman" w:hAnsi="Times New Roman" w:cs="Times New Roman"/>
          <w:color w:val="0000FF"/>
          <w:szCs w:val="24"/>
          <w:lang w:val="en-ID"/>
        </w:rPr>
        <w:t xml:space="preserve"> for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Be</m:t>
            </m:r>
          </m:e>
          <m:sub>
            <m:r>
              <w:rPr>
                <w:rFonts w:ascii="Cambria Math" w:hAnsi="Cambria Math" w:cs="Times New Roman"/>
                <w:color w:val="0000FF"/>
                <w:szCs w:val="24"/>
                <w:lang w:val="en-ID"/>
              </w:rPr>
              <m:t>12</m:t>
            </m:r>
          </m:sub>
        </m:sSub>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O</m:t>
            </m:r>
          </m:e>
          <m:sub>
            <m:r>
              <w:rPr>
                <w:rFonts w:ascii="Cambria Math" w:hAnsi="Cambria Math" w:cs="Times New Roman"/>
                <w:color w:val="0000FF"/>
                <w:szCs w:val="24"/>
                <w:lang w:val="en-ID"/>
              </w:rPr>
              <m:t>12</m:t>
            </m:r>
          </m:sub>
        </m:sSub>
      </m:oMath>
      <w:r w:rsidRPr="00AE00EB">
        <w:rPr>
          <w:rFonts w:ascii="Times New Roman" w:hAnsi="Times New Roman" w:cs="Times New Roman"/>
          <w:color w:val="0000FF"/>
          <w:szCs w:val="24"/>
          <w:lang w:val="en-ID"/>
        </w:rPr>
        <w:t>).</w:t>
      </w:r>
    </w:p>
    <w:p w14:paraId="71FD709B" w14:textId="77777777" w:rsidR="005F496C" w:rsidRPr="00AE00EB" w:rsidRDefault="005F496C" w:rsidP="005F496C">
      <w:p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 xml:space="preserve">Physically, a negative voltage indicates that the Gibbs free energy change for lithium insertion into the nanocage is positive relative to the lithium metal reference state, meaning lithiation is thermodynamically </w:t>
      </w:r>
      <w:proofErr w:type="spellStart"/>
      <w:r w:rsidRPr="00AE00EB">
        <w:rPr>
          <w:rFonts w:ascii="Times New Roman" w:hAnsi="Times New Roman" w:cs="Times New Roman"/>
          <w:color w:val="0000FF"/>
          <w:szCs w:val="24"/>
          <w:lang w:val="en-ID"/>
        </w:rPr>
        <w:t>unfavorable</w:t>
      </w:r>
      <w:proofErr w:type="spellEnd"/>
      <w:r w:rsidRPr="00AE00EB">
        <w:rPr>
          <w:rFonts w:ascii="Times New Roman" w:hAnsi="Times New Roman" w:cs="Times New Roman"/>
          <w:color w:val="0000FF"/>
          <w:szCs w:val="24"/>
          <w:lang w:val="en-ID"/>
        </w:rPr>
        <w:t xml:space="preserve">. Practically, this implies that the material would fail to spontaneously insert lithium during discharge and would instead </w:t>
      </w:r>
      <w:proofErr w:type="spellStart"/>
      <w:r w:rsidRPr="00AE00EB">
        <w:rPr>
          <w:rFonts w:ascii="Times New Roman" w:hAnsi="Times New Roman" w:cs="Times New Roman"/>
          <w:color w:val="0000FF"/>
          <w:szCs w:val="24"/>
          <w:lang w:val="en-ID"/>
        </w:rPr>
        <w:t>favor</w:t>
      </w:r>
      <w:proofErr w:type="spellEnd"/>
      <w:r w:rsidRPr="00AE00EB">
        <w:rPr>
          <w:rFonts w:ascii="Times New Roman" w:hAnsi="Times New Roman" w:cs="Times New Roman"/>
          <w:color w:val="0000FF"/>
          <w:szCs w:val="24"/>
          <w:lang w:val="en-ID"/>
        </w:rPr>
        <w:t xml:space="preserve"> lithium dendrite </w:t>
      </w:r>
      <w:r w:rsidRPr="00AE00EB">
        <w:rPr>
          <w:rFonts w:ascii="Times New Roman" w:hAnsi="Times New Roman" w:cs="Times New Roman"/>
          <w:color w:val="0000FF"/>
          <w:szCs w:val="24"/>
          <w:lang w:val="en-ID"/>
        </w:rPr>
        <w:lastRenderedPageBreak/>
        <w:t>formation or require an unrealistic external electrical penalty, thereby rendering it unsuitable for practical battery operation. We have integrated this clarification into Section 4.3 of the revised manuscript.</w:t>
      </w:r>
    </w:p>
    <w:p w14:paraId="21A33B2F" w14:textId="77777777" w:rsidR="004B1149" w:rsidRPr="00AE00EB" w:rsidRDefault="004B1149" w:rsidP="005F496C">
      <w:pPr>
        <w:spacing w:after="0" w:line="240" w:lineRule="auto"/>
        <w:jc w:val="both"/>
        <w:rPr>
          <w:rFonts w:ascii="Times New Roman" w:hAnsi="Times New Roman" w:cs="Times New Roman"/>
          <w:color w:val="0000FF"/>
          <w:szCs w:val="24"/>
          <w:lang w:val="en-ID"/>
        </w:rPr>
      </w:pPr>
    </w:p>
    <w:p w14:paraId="53FA60B3" w14:textId="4F64CA32" w:rsidR="004B1149" w:rsidRPr="00AE00EB" w:rsidRDefault="004B1149" w:rsidP="005F496C">
      <w:p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 xml:space="preserve">(Page </w:t>
      </w:r>
      <w:r w:rsidR="00A50A2B">
        <w:rPr>
          <w:rFonts w:ascii="Times New Roman" w:hAnsi="Times New Roman" w:cs="Times New Roman"/>
          <w:color w:val="0000FF"/>
          <w:szCs w:val="24"/>
          <w:lang w:val="en-ID"/>
        </w:rPr>
        <w:t>8</w:t>
      </w:r>
      <w:r w:rsidRPr="00AE00EB">
        <w:rPr>
          <w:rFonts w:ascii="Times New Roman" w:hAnsi="Times New Roman" w:cs="Times New Roman"/>
          <w:color w:val="0000FF"/>
          <w:szCs w:val="24"/>
          <w:lang w:val="en-ID"/>
        </w:rPr>
        <w:t xml:space="preserve">: Line </w:t>
      </w:r>
      <w:r w:rsidR="00A50A2B">
        <w:rPr>
          <w:rFonts w:ascii="Times New Roman" w:hAnsi="Times New Roman" w:cs="Times New Roman"/>
          <w:color w:val="0000FF"/>
          <w:szCs w:val="24"/>
          <w:lang w:val="en-ID"/>
        </w:rPr>
        <w:t>20</w:t>
      </w:r>
      <w:r w:rsidRPr="00AE00EB">
        <w:rPr>
          <w:rFonts w:ascii="Times New Roman" w:hAnsi="Times New Roman" w:cs="Times New Roman"/>
          <w:color w:val="0000FF"/>
          <w:szCs w:val="24"/>
          <w:lang w:val="en-ID"/>
        </w:rPr>
        <w:t>-</w:t>
      </w:r>
      <w:r w:rsidR="00A50A2B">
        <w:rPr>
          <w:rFonts w:ascii="Times New Roman" w:hAnsi="Times New Roman" w:cs="Times New Roman"/>
          <w:color w:val="0000FF"/>
          <w:szCs w:val="24"/>
          <w:lang w:val="en-ID"/>
        </w:rPr>
        <w:t>31</w:t>
      </w:r>
      <w:r w:rsidRPr="00AE00EB">
        <w:rPr>
          <w:rFonts w:ascii="Times New Roman" w:hAnsi="Times New Roman" w:cs="Times New Roman"/>
          <w:color w:val="0000FF"/>
          <w:szCs w:val="24"/>
          <w:lang w:val="en-ID"/>
        </w:rPr>
        <w:t>)</w:t>
      </w:r>
    </w:p>
    <w:p w14:paraId="3219B58B" w14:textId="77777777" w:rsidR="005F496C" w:rsidRPr="00AE00EB" w:rsidRDefault="005F496C" w:rsidP="001D0A39">
      <w:pPr>
        <w:spacing w:after="0" w:line="240" w:lineRule="auto"/>
        <w:jc w:val="both"/>
        <w:rPr>
          <w:rFonts w:ascii="Times New Roman" w:hAnsi="Times New Roman" w:cs="Times New Roman"/>
          <w:b/>
          <w:bCs/>
          <w:szCs w:val="24"/>
          <w:lang w:val="en-ID"/>
        </w:rPr>
      </w:pPr>
    </w:p>
    <w:p w14:paraId="470D863C" w14:textId="77777777" w:rsidR="004B1149" w:rsidRPr="00AE00EB" w:rsidRDefault="004B1149" w:rsidP="00A50A2B">
      <w:pPr>
        <w:spacing w:line="276" w:lineRule="auto"/>
        <w:ind w:firstLine="567"/>
        <w:jc w:val="both"/>
        <w:rPr>
          <w:rFonts w:ascii="Times New Roman" w:hAnsi="Times New Roman" w:cs="Times New Roman"/>
          <w:szCs w:val="24"/>
        </w:rPr>
      </w:pPr>
      <w:r w:rsidRPr="00AE00EB">
        <w:rPr>
          <w:rFonts w:ascii="Times New Roman" w:hAnsi="Times New Roman" w:cs="Times New Roman"/>
          <w:szCs w:val="24"/>
          <w:highlight w:val="yellow"/>
          <w:lang w:val="en-ID"/>
        </w:rPr>
        <w:t xml:space="preserve">The calculated theoretical voltages further distinguish the electrochemical feasibility of the investigated nanocages. </w:t>
      </w:r>
      <m:oMath>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C</m:t>
            </m:r>
          </m:e>
          <m:sub>
            <m:r>
              <w:rPr>
                <w:rFonts w:ascii="Cambria Math" w:hAnsi="Cambria Math" w:cs="Times New Roman"/>
                <w:szCs w:val="24"/>
                <w:highlight w:val="yellow"/>
                <w:lang w:val="en-ID"/>
              </w:rPr>
              <m:t>24</m:t>
            </m:r>
          </m:sub>
        </m:sSub>
      </m:oMath>
      <w:r w:rsidRPr="00AE00EB">
        <w:rPr>
          <w:rFonts w:ascii="Times New Roman" w:hAnsi="Times New Roman" w:cs="Times New Roman"/>
          <w:szCs w:val="24"/>
          <w:highlight w:val="yellow"/>
          <w:lang w:val="en-ID"/>
        </w:rPr>
        <w:t xml:space="preserve"> and </w:t>
      </w:r>
      <m:oMath>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Al</m:t>
            </m:r>
          </m:e>
          <m:sub>
            <m:r>
              <w:rPr>
                <w:rFonts w:ascii="Cambria Math" w:hAnsi="Cambria Math" w:cs="Times New Roman"/>
                <w:szCs w:val="24"/>
                <w:highlight w:val="yellow"/>
                <w:lang w:val="en-ID"/>
              </w:rPr>
              <m:t>12</m:t>
            </m:r>
          </m:sub>
        </m:sSub>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P</m:t>
            </m:r>
          </m:e>
          <m:sub>
            <m:r>
              <w:rPr>
                <w:rFonts w:ascii="Cambria Math" w:hAnsi="Cambria Math" w:cs="Times New Roman"/>
                <w:szCs w:val="24"/>
                <w:highlight w:val="yellow"/>
                <w:lang w:val="en-ID"/>
              </w:rPr>
              <m:t>12</m:t>
            </m:r>
          </m:sub>
        </m:sSub>
      </m:oMath>
      <w:r w:rsidRPr="00AE00EB">
        <w:rPr>
          <w:rFonts w:ascii="Times New Roman" w:hAnsi="Times New Roman" w:cs="Times New Roman"/>
          <w:szCs w:val="24"/>
          <w:highlight w:val="yellow"/>
          <w:lang w:val="en-ID"/>
        </w:rPr>
        <w:t xml:space="preserve"> exhibit positive theoretical voltages of </w:t>
      </w:r>
      <m:oMath>
        <m:r>
          <w:rPr>
            <w:rFonts w:ascii="Cambria Math" w:hAnsi="Cambria Math" w:cs="Times New Roman"/>
            <w:szCs w:val="24"/>
            <w:highlight w:val="yellow"/>
            <w:lang w:val="en-ID"/>
          </w:rPr>
          <m:t>0.65</m:t>
        </m:r>
        <m:r>
          <m:rPr>
            <m:nor/>
          </m:rPr>
          <w:rPr>
            <w:rFonts w:ascii="Times New Roman" w:hAnsi="Times New Roman" w:cs="Times New Roman"/>
            <w:szCs w:val="24"/>
            <w:highlight w:val="yellow"/>
            <w:lang w:val="en-ID"/>
          </w:rPr>
          <m:t> V</m:t>
        </m:r>
      </m:oMath>
      <w:r w:rsidRPr="00AE00EB">
        <w:rPr>
          <w:rFonts w:ascii="Times New Roman" w:hAnsi="Times New Roman" w:cs="Times New Roman"/>
          <w:szCs w:val="24"/>
          <w:highlight w:val="yellow"/>
          <w:lang w:val="en-ID"/>
        </w:rPr>
        <w:t xml:space="preserve"> and </w:t>
      </w:r>
      <m:oMath>
        <m:r>
          <w:rPr>
            <w:rFonts w:ascii="Cambria Math" w:hAnsi="Cambria Math" w:cs="Times New Roman"/>
            <w:szCs w:val="24"/>
            <w:highlight w:val="yellow"/>
            <w:lang w:val="en-ID"/>
          </w:rPr>
          <m:t>0.30</m:t>
        </m:r>
        <m:r>
          <m:rPr>
            <m:nor/>
          </m:rPr>
          <w:rPr>
            <w:rFonts w:ascii="Times New Roman" w:hAnsi="Times New Roman" w:cs="Times New Roman"/>
            <w:szCs w:val="24"/>
            <w:highlight w:val="yellow"/>
            <w:lang w:val="en-ID"/>
          </w:rPr>
          <m:t> V</m:t>
        </m:r>
      </m:oMath>
      <w:r w:rsidRPr="00AE00EB">
        <w:rPr>
          <w:rFonts w:ascii="Times New Roman" w:hAnsi="Times New Roman" w:cs="Times New Roman"/>
          <w:szCs w:val="24"/>
          <w:highlight w:val="yellow"/>
          <w:lang w:val="en-ID"/>
        </w:rPr>
        <w:t xml:space="preserve">, respectively, indicating thermodynamically </w:t>
      </w:r>
      <w:proofErr w:type="spellStart"/>
      <w:r w:rsidRPr="00AE00EB">
        <w:rPr>
          <w:rFonts w:ascii="Times New Roman" w:hAnsi="Times New Roman" w:cs="Times New Roman"/>
          <w:szCs w:val="24"/>
          <w:highlight w:val="yellow"/>
          <w:lang w:val="en-ID"/>
        </w:rPr>
        <w:t>favorable</w:t>
      </w:r>
      <w:proofErr w:type="spellEnd"/>
      <w:r w:rsidRPr="00AE00EB">
        <w:rPr>
          <w:rFonts w:ascii="Times New Roman" w:hAnsi="Times New Roman" w:cs="Times New Roman"/>
          <w:szCs w:val="24"/>
          <w:highlight w:val="yellow"/>
          <w:lang w:val="en-ID"/>
        </w:rPr>
        <w:t xml:space="preserve"> lithiation and </w:t>
      </w:r>
      <w:proofErr w:type="spellStart"/>
      <w:r w:rsidRPr="00AE00EB">
        <w:rPr>
          <w:rFonts w:ascii="Times New Roman" w:hAnsi="Times New Roman" w:cs="Times New Roman"/>
          <w:szCs w:val="24"/>
          <w:highlight w:val="yellow"/>
          <w:lang w:val="en-ID"/>
        </w:rPr>
        <w:t>delithiation</w:t>
      </w:r>
      <w:proofErr w:type="spellEnd"/>
      <w:r w:rsidRPr="00AE00EB">
        <w:rPr>
          <w:rFonts w:ascii="Times New Roman" w:hAnsi="Times New Roman" w:cs="Times New Roman"/>
          <w:szCs w:val="24"/>
          <w:highlight w:val="yellow"/>
          <w:lang w:val="en-ID"/>
        </w:rPr>
        <w:t xml:space="preserve"> processes. In contrast, </w:t>
      </w:r>
      <m:oMath>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Be</m:t>
            </m:r>
          </m:e>
          <m:sub>
            <m:r>
              <w:rPr>
                <w:rFonts w:ascii="Cambria Math" w:hAnsi="Cambria Math" w:cs="Times New Roman"/>
                <w:szCs w:val="24"/>
                <w:highlight w:val="yellow"/>
                <w:lang w:val="en-ID"/>
              </w:rPr>
              <m:t>12</m:t>
            </m:r>
          </m:sub>
        </m:sSub>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O</m:t>
            </m:r>
          </m:e>
          <m:sub>
            <m:r>
              <w:rPr>
                <w:rFonts w:ascii="Cambria Math" w:hAnsi="Cambria Math" w:cs="Times New Roman"/>
                <w:szCs w:val="24"/>
                <w:highlight w:val="yellow"/>
                <w:lang w:val="en-ID"/>
              </w:rPr>
              <m:t>12</m:t>
            </m:r>
          </m:sub>
        </m:sSub>
      </m:oMath>
      <w:r w:rsidRPr="00AE00EB">
        <w:rPr>
          <w:rFonts w:ascii="Times New Roman" w:hAnsi="Times New Roman" w:cs="Times New Roman"/>
          <w:szCs w:val="24"/>
          <w:highlight w:val="yellow"/>
          <w:lang w:val="en-ID"/>
        </w:rPr>
        <w:t xml:space="preserve"> and </w:t>
      </w:r>
      <m:oMath>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B</m:t>
            </m:r>
          </m:e>
          <m:sub>
            <m:r>
              <w:rPr>
                <w:rFonts w:ascii="Cambria Math" w:hAnsi="Cambria Math" w:cs="Times New Roman"/>
                <w:szCs w:val="24"/>
                <w:highlight w:val="yellow"/>
                <w:lang w:val="en-ID"/>
              </w:rPr>
              <m:t>12</m:t>
            </m:r>
          </m:sub>
        </m:sSub>
        <m:sSub>
          <m:sSubPr>
            <m:ctrlPr>
              <w:rPr>
                <w:rFonts w:ascii="Cambria Math" w:hAnsi="Cambria Math" w:cs="Times New Roman"/>
                <w:szCs w:val="24"/>
                <w:highlight w:val="yellow"/>
                <w:lang w:val="en-ID"/>
              </w:rPr>
            </m:ctrlPr>
          </m:sSubPr>
          <m:e>
            <m:r>
              <m:rPr>
                <m:nor/>
              </m:rPr>
              <w:rPr>
                <w:rFonts w:ascii="Times New Roman" w:hAnsi="Times New Roman" w:cs="Times New Roman"/>
                <w:szCs w:val="24"/>
                <w:highlight w:val="yellow"/>
                <w:lang w:val="en-ID"/>
              </w:rPr>
              <m:t>N</m:t>
            </m:r>
          </m:e>
          <m:sub>
            <m:r>
              <w:rPr>
                <w:rFonts w:ascii="Cambria Math" w:hAnsi="Cambria Math" w:cs="Times New Roman"/>
                <w:szCs w:val="24"/>
                <w:highlight w:val="yellow"/>
                <w:lang w:val="en-ID"/>
              </w:rPr>
              <m:t>12</m:t>
            </m:r>
          </m:sub>
        </m:sSub>
      </m:oMath>
      <w:r w:rsidRPr="00AE00EB">
        <w:rPr>
          <w:rFonts w:ascii="Times New Roman" w:hAnsi="Times New Roman" w:cs="Times New Roman"/>
          <w:szCs w:val="24"/>
          <w:highlight w:val="yellow"/>
          <w:lang w:val="en-ID"/>
        </w:rPr>
        <w:t xml:space="preserve"> produce negative theoretical voltages of </w:t>
      </w:r>
      <m:oMath>
        <m:r>
          <w:rPr>
            <w:rFonts w:ascii="Cambria Math" w:hAnsi="Cambria Math" w:cs="Times New Roman"/>
            <w:szCs w:val="24"/>
            <w:highlight w:val="yellow"/>
            <w:lang w:val="en-ID"/>
          </w:rPr>
          <m:t>-0.98</m:t>
        </m:r>
        <m:r>
          <m:rPr>
            <m:nor/>
          </m:rPr>
          <w:rPr>
            <w:rFonts w:ascii="Times New Roman" w:hAnsi="Times New Roman" w:cs="Times New Roman"/>
            <w:szCs w:val="24"/>
            <w:highlight w:val="yellow"/>
            <w:lang w:val="en-ID"/>
          </w:rPr>
          <m:t> V</m:t>
        </m:r>
      </m:oMath>
      <w:r w:rsidRPr="00AE00EB">
        <w:rPr>
          <w:rFonts w:ascii="Times New Roman" w:hAnsi="Times New Roman" w:cs="Times New Roman"/>
          <w:szCs w:val="24"/>
          <w:highlight w:val="yellow"/>
          <w:lang w:val="en-ID"/>
        </w:rPr>
        <w:t xml:space="preserve"> and </w:t>
      </w:r>
      <m:oMath>
        <m:r>
          <w:rPr>
            <w:rFonts w:ascii="Cambria Math" w:hAnsi="Cambria Math" w:cs="Times New Roman"/>
            <w:szCs w:val="24"/>
            <w:highlight w:val="yellow"/>
            <w:lang w:val="en-ID"/>
          </w:rPr>
          <m:t>-0.63</m:t>
        </m:r>
        <m:r>
          <m:rPr>
            <m:nor/>
          </m:rPr>
          <w:rPr>
            <w:rFonts w:ascii="Times New Roman" w:hAnsi="Times New Roman" w:cs="Times New Roman"/>
            <w:szCs w:val="24"/>
            <w:highlight w:val="yellow"/>
            <w:lang w:val="en-ID"/>
          </w:rPr>
          <m:t> V</m:t>
        </m:r>
      </m:oMath>
      <w:r w:rsidRPr="00AE00EB">
        <w:rPr>
          <w:rFonts w:ascii="Times New Roman" w:hAnsi="Times New Roman" w:cs="Times New Roman"/>
          <w:szCs w:val="24"/>
          <w:highlight w:val="yellow"/>
          <w:lang w:val="en-ID"/>
        </w:rPr>
        <w:t xml:space="preserve">, respectively. Physically, a negative theoretical voltage implies that the Gibbs free energy change for lithium insertion is </w:t>
      </w:r>
      <w:proofErr w:type="spellStart"/>
      <w:r w:rsidRPr="00AE00EB">
        <w:rPr>
          <w:rFonts w:ascii="Times New Roman" w:hAnsi="Times New Roman" w:cs="Times New Roman"/>
          <w:szCs w:val="24"/>
          <w:highlight w:val="yellow"/>
          <w:lang w:val="en-ID"/>
        </w:rPr>
        <w:t>unfavorable</w:t>
      </w:r>
      <w:proofErr w:type="spellEnd"/>
      <w:r w:rsidRPr="00AE00EB">
        <w:rPr>
          <w:rFonts w:ascii="Times New Roman" w:hAnsi="Times New Roman" w:cs="Times New Roman"/>
          <w:szCs w:val="24"/>
          <w:highlight w:val="yellow"/>
          <w:lang w:val="en-ID"/>
        </w:rPr>
        <w:t xml:space="preserve"> relative to the lithium metal reference state, meaning lithiation is endergonic under standard conditions. In practical battery operation, an anode with a negative voltage would fail to spontaneously insert lithium and would require a forced external overpotential, thereby increasing energy losses, elevating safety risks such as lithium plating or dendrite formation, and hindering reversible cycling</w:t>
      </w:r>
      <w:r w:rsidRPr="00AE00EB">
        <w:rPr>
          <w:rFonts w:ascii="Times New Roman" w:hAnsi="Times New Roman" w:cs="Times New Roman"/>
          <w:b/>
          <w:bCs/>
          <w:szCs w:val="24"/>
          <w:highlight w:val="yellow"/>
          <w:lang w:val="en-ID"/>
        </w:rPr>
        <w:t>.</w:t>
      </w:r>
      <w:r w:rsidRPr="00AE00EB">
        <w:rPr>
          <w:rFonts w:ascii="Times New Roman" w:hAnsi="Times New Roman" w:cs="Times New Roman"/>
          <w:szCs w:val="24"/>
          <w:highlight w:val="yellow"/>
          <w:lang w:val="en-ID"/>
        </w:rPr>
        <w:t xml:space="preserve"> Consequently, these negative values significantly reduce the practicality of these materials as rechargeable lithium-ion battery anodes despite their other </w:t>
      </w:r>
      <w:proofErr w:type="spellStart"/>
      <w:r w:rsidRPr="00AE00EB">
        <w:rPr>
          <w:rFonts w:ascii="Times New Roman" w:hAnsi="Times New Roman" w:cs="Times New Roman"/>
          <w:szCs w:val="24"/>
          <w:highlight w:val="yellow"/>
          <w:lang w:val="en-ID"/>
        </w:rPr>
        <w:t>favorable</w:t>
      </w:r>
      <w:proofErr w:type="spellEnd"/>
      <w:r w:rsidRPr="00AE00EB">
        <w:rPr>
          <w:rFonts w:ascii="Times New Roman" w:hAnsi="Times New Roman" w:cs="Times New Roman"/>
          <w:szCs w:val="24"/>
          <w:highlight w:val="yellow"/>
          <w:lang w:val="en-ID"/>
        </w:rPr>
        <w:t xml:space="preserve"> adsorption characteristics </w:t>
      </w:r>
      <w:r w:rsidRPr="00AE00EB">
        <w:rPr>
          <w:rFonts w:ascii="Times New Roman" w:hAnsi="Times New Roman" w:cs="Times New Roman"/>
          <w:szCs w:val="24"/>
          <w:highlight w:val="yellow"/>
        </w:rPr>
        <w:t>[29-30].</w:t>
      </w:r>
    </w:p>
    <w:p w14:paraId="03CA3E2A" w14:textId="77777777" w:rsidR="00B95007" w:rsidRPr="00AE00EB" w:rsidRDefault="00B95007" w:rsidP="004B1149">
      <w:pPr>
        <w:spacing w:line="276" w:lineRule="auto"/>
        <w:ind w:firstLine="567"/>
        <w:rPr>
          <w:rFonts w:ascii="Times New Roman" w:hAnsi="Times New Roman" w:cs="Times New Roman"/>
          <w:szCs w:val="24"/>
        </w:rPr>
      </w:pPr>
    </w:p>
    <w:p w14:paraId="4019C4CA" w14:textId="47E4466E" w:rsidR="00B95007" w:rsidRPr="00AE00EB" w:rsidRDefault="00B95007" w:rsidP="00B95007">
      <w:pPr>
        <w:spacing w:after="0" w:line="240" w:lineRule="auto"/>
        <w:jc w:val="both"/>
        <w:rPr>
          <w:rFonts w:ascii="Times New Roman" w:hAnsi="Times New Roman" w:cs="Times New Roman"/>
          <w:szCs w:val="24"/>
        </w:rPr>
      </w:pPr>
      <w:r w:rsidRPr="00AE00EB">
        <w:rPr>
          <w:rFonts w:ascii="Times New Roman" w:hAnsi="Times New Roman" w:cs="Times New Roman"/>
          <w:b/>
          <w:bCs/>
          <w:szCs w:val="24"/>
        </w:rPr>
        <w:t>Reviewer Comment point-6:</w:t>
      </w:r>
      <w:r w:rsidRPr="00AE00EB">
        <w:rPr>
          <w:rFonts w:ascii="Times New Roman" w:hAnsi="Times New Roman" w:cs="Times New Roman"/>
          <w:szCs w:val="24"/>
        </w:rPr>
        <w:t xml:space="preserve"> The current study evaluates adsorption energy, HOMO-LUMO gap, and theoretical voltage, but does not report experimental cycling, specific capacity, diffusion barriers, or long-term structural stability. The conclusion should therefore acknowledge these limitations and recommend experimental validation as future work. </w:t>
      </w:r>
    </w:p>
    <w:p w14:paraId="640ED38F" w14:textId="77777777" w:rsidR="00B95007" w:rsidRPr="00AE00EB" w:rsidRDefault="00B95007" w:rsidP="00B95007">
      <w:pPr>
        <w:spacing w:after="0" w:line="240" w:lineRule="auto"/>
        <w:jc w:val="both"/>
        <w:rPr>
          <w:rFonts w:ascii="Times New Roman" w:hAnsi="Times New Roman" w:cs="Times New Roman"/>
          <w:szCs w:val="24"/>
        </w:rPr>
      </w:pPr>
    </w:p>
    <w:p w14:paraId="378CD23A" w14:textId="77777777" w:rsidR="00B95007" w:rsidRPr="00AE00EB" w:rsidRDefault="00B95007" w:rsidP="00B95007">
      <w:pPr>
        <w:spacing w:after="0" w:line="240" w:lineRule="auto"/>
        <w:jc w:val="both"/>
        <w:rPr>
          <w:rFonts w:ascii="Times New Roman" w:hAnsi="Times New Roman" w:cs="Times New Roman"/>
          <w:color w:val="0000FF"/>
          <w:szCs w:val="24"/>
        </w:rPr>
      </w:pPr>
      <w:r w:rsidRPr="00AE00EB">
        <w:rPr>
          <w:rFonts w:ascii="Times New Roman" w:hAnsi="Times New Roman" w:cs="Times New Roman"/>
          <w:color w:val="0000FF"/>
          <w:szCs w:val="24"/>
        </w:rPr>
        <w:t>Response:</w:t>
      </w:r>
    </w:p>
    <w:p w14:paraId="0615341D" w14:textId="77777777" w:rsidR="00B95007" w:rsidRPr="00AE00EB" w:rsidRDefault="00B95007" w:rsidP="00B95007">
      <w:p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b/>
          <w:bCs/>
          <w:color w:val="0000FF"/>
          <w:szCs w:val="24"/>
          <w:lang w:val="en-ID"/>
        </w:rPr>
        <w:t>We thank the reviewer for this constructive observation.</w:t>
      </w:r>
      <w:r w:rsidRPr="00AE00EB">
        <w:rPr>
          <w:rFonts w:ascii="Times New Roman" w:hAnsi="Times New Roman" w:cs="Times New Roman"/>
          <w:color w:val="0000FF"/>
          <w:szCs w:val="24"/>
          <w:lang w:val="en-ID"/>
        </w:rPr>
        <w:t xml:space="preserve"> We fully agree that while this study provides a robust preliminary screening based on adsorption energy, electronic properties, and theoretical voltage, comprehensive evaluation would ultimately benefit from complementary data such as diffusion barriers, specific capacity, long-term structural stability, and experimental testing.</w:t>
      </w:r>
    </w:p>
    <w:p w14:paraId="767CE8BE" w14:textId="6B31C9B8" w:rsidR="00B95007" w:rsidRPr="00AE00EB" w:rsidRDefault="00B95007" w:rsidP="00B95007">
      <w:p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 xml:space="preserve">To address this, we have revised the Conclusion section of the manuscript to explicitly acknowledge these limitations and outline future work—including kinetic evaluations via nudged elastic band (NEB) calculations and subsequent experimental synthesis and testing—to validate the practical performance of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C</m:t>
            </m:r>
          </m:e>
          <m:sub>
            <m:r>
              <w:rPr>
                <w:rFonts w:ascii="Cambria Math" w:hAnsi="Cambria Math" w:cs="Times New Roman"/>
                <w:color w:val="0000FF"/>
                <w:szCs w:val="24"/>
                <w:lang w:val="en-ID"/>
              </w:rPr>
              <m:t>24</m:t>
            </m:r>
          </m:sub>
        </m:sSub>
      </m:oMath>
      <w:r w:rsidRPr="00AE00EB">
        <w:rPr>
          <w:rFonts w:ascii="Times New Roman" w:hAnsi="Times New Roman" w:cs="Times New Roman"/>
          <w:color w:val="0000FF"/>
          <w:szCs w:val="24"/>
          <w:lang w:val="en-ID"/>
        </w:rPr>
        <w:t xml:space="preserve"> and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Al</m:t>
            </m:r>
          </m:e>
          <m:sub>
            <m:r>
              <w:rPr>
                <w:rFonts w:ascii="Cambria Math" w:hAnsi="Cambria Math" w:cs="Times New Roman"/>
                <w:color w:val="0000FF"/>
                <w:szCs w:val="24"/>
                <w:lang w:val="en-ID"/>
              </w:rPr>
              <m:t>12</m:t>
            </m:r>
          </m:sub>
        </m:sSub>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P</m:t>
            </m:r>
          </m:e>
          <m:sub>
            <m:r>
              <w:rPr>
                <w:rFonts w:ascii="Cambria Math" w:hAnsi="Cambria Math" w:cs="Times New Roman"/>
                <w:color w:val="0000FF"/>
                <w:szCs w:val="24"/>
                <w:lang w:val="en-ID"/>
              </w:rPr>
              <m:t>12</m:t>
            </m:r>
          </m:sub>
        </m:sSub>
      </m:oMath>
      <w:r w:rsidRPr="00AE00EB">
        <w:rPr>
          <w:rFonts w:ascii="Times New Roman" w:hAnsi="Times New Roman" w:cs="Times New Roman"/>
          <w:color w:val="0000FF"/>
          <w:szCs w:val="24"/>
          <w:lang w:val="en-ID"/>
        </w:rPr>
        <w:t xml:space="preserve"> as advanced lithium-ion battery anodes.</w:t>
      </w:r>
    </w:p>
    <w:p w14:paraId="58AF82B5" w14:textId="77777777" w:rsidR="00B95007" w:rsidRPr="00AE00EB" w:rsidRDefault="00B95007" w:rsidP="00B95007">
      <w:pPr>
        <w:spacing w:after="0" w:line="240" w:lineRule="auto"/>
        <w:jc w:val="both"/>
        <w:rPr>
          <w:rFonts w:ascii="Times New Roman" w:hAnsi="Times New Roman" w:cs="Times New Roman"/>
          <w:color w:val="0000FF"/>
          <w:szCs w:val="24"/>
          <w:lang w:val="en-ID"/>
        </w:rPr>
      </w:pPr>
    </w:p>
    <w:p w14:paraId="60364D4B" w14:textId="4A20B8F2" w:rsidR="00B95007" w:rsidRPr="00AE00EB" w:rsidRDefault="00B95007" w:rsidP="00B95007">
      <w:p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 xml:space="preserve">(Page </w:t>
      </w:r>
      <w:r w:rsidR="00A50A2B">
        <w:rPr>
          <w:rFonts w:ascii="Times New Roman" w:hAnsi="Times New Roman" w:cs="Times New Roman"/>
          <w:color w:val="0000FF"/>
          <w:szCs w:val="24"/>
          <w:lang w:val="en-ID"/>
        </w:rPr>
        <w:t>9</w:t>
      </w:r>
      <w:r w:rsidRPr="00AE00EB">
        <w:rPr>
          <w:rFonts w:ascii="Times New Roman" w:hAnsi="Times New Roman" w:cs="Times New Roman"/>
          <w:color w:val="0000FF"/>
          <w:szCs w:val="24"/>
          <w:lang w:val="en-ID"/>
        </w:rPr>
        <w:t xml:space="preserve">: Line </w:t>
      </w:r>
      <w:r w:rsidR="00A50A2B">
        <w:rPr>
          <w:rFonts w:ascii="Times New Roman" w:hAnsi="Times New Roman" w:cs="Times New Roman"/>
          <w:color w:val="0000FF"/>
          <w:szCs w:val="24"/>
          <w:lang w:val="en-ID"/>
        </w:rPr>
        <w:t>38 – Page 10: Line 3</w:t>
      </w:r>
      <w:r w:rsidRPr="00AE00EB">
        <w:rPr>
          <w:rFonts w:ascii="Times New Roman" w:hAnsi="Times New Roman" w:cs="Times New Roman"/>
          <w:color w:val="0000FF"/>
          <w:szCs w:val="24"/>
          <w:lang w:val="en-ID"/>
        </w:rPr>
        <w:t>)</w:t>
      </w:r>
    </w:p>
    <w:p w14:paraId="08E3BAAD" w14:textId="77777777" w:rsidR="00B95007" w:rsidRPr="00AE00EB" w:rsidRDefault="00B95007" w:rsidP="00B95007">
      <w:pPr>
        <w:spacing w:line="276" w:lineRule="auto"/>
        <w:ind w:firstLine="567"/>
        <w:rPr>
          <w:rFonts w:ascii="Times New Roman" w:eastAsia="Times New Roman" w:hAnsi="Times New Roman" w:cs="Times New Roman"/>
          <w:szCs w:val="24"/>
          <w:lang w:val="en-ID" w:eastAsia="id-ID"/>
        </w:rPr>
      </w:pPr>
      <w:r w:rsidRPr="00AE00EB">
        <w:rPr>
          <w:rFonts w:ascii="Times New Roman" w:eastAsia="Times New Roman" w:hAnsi="Times New Roman" w:cs="Times New Roman"/>
          <w:szCs w:val="24"/>
          <w:highlight w:val="yellow"/>
          <w:lang w:val="en-ID" w:eastAsia="id-ID"/>
        </w:rPr>
        <w:t>Finally, while this study provides a comprehensive computational screening based on adsorption energy, electronic properties, and theoretical voltage, several practical aspects—</w:t>
      </w:r>
      <w:r w:rsidRPr="00AE00EB">
        <w:rPr>
          <w:rFonts w:ascii="Times New Roman" w:eastAsia="Times New Roman" w:hAnsi="Times New Roman" w:cs="Times New Roman"/>
          <w:szCs w:val="24"/>
          <w:highlight w:val="yellow"/>
          <w:lang w:val="en-ID" w:eastAsia="id-ID"/>
        </w:rPr>
        <w:lastRenderedPageBreak/>
        <w:t xml:space="preserve">such as ionic diffusion barriers, specific capacity, and long-term structural stability during cycling—warrant further exploration. Future work should focus on kinetic evaluations, such as nudged elastic band (NEB) calculations, alongside complementary experimental synthesis and electrochemical testing to validate the practical viability of </w:t>
      </w:r>
      <m:oMath>
        <m:sSub>
          <m:sSubPr>
            <m:ctrlPr>
              <w:rPr>
                <w:rFonts w:ascii="Cambria Math" w:eastAsia="Times New Roman" w:hAnsi="Cambria Math" w:cs="Times New Roman"/>
                <w:szCs w:val="24"/>
                <w:highlight w:val="yellow"/>
                <w:lang w:val="en-ID" w:eastAsia="id-ID"/>
              </w:rPr>
            </m:ctrlPr>
          </m:sSubPr>
          <m:e>
            <m:r>
              <m:rPr>
                <m:nor/>
              </m:rPr>
              <w:rPr>
                <w:rFonts w:ascii="Times New Roman" w:eastAsia="Times New Roman" w:hAnsi="Times New Roman" w:cs="Times New Roman"/>
                <w:szCs w:val="24"/>
                <w:highlight w:val="yellow"/>
                <w:lang w:val="en-ID" w:eastAsia="id-ID"/>
              </w:rPr>
              <m:t>C</m:t>
            </m:r>
          </m:e>
          <m:sub>
            <m:r>
              <w:rPr>
                <w:rFonts w:ascii="Cambria Math" w:eastAsia="Times New Roman" w:hAnsi="Cambria Math" w:cs="Times New Roman"/>
                <w:szCs w:val="24"/>
                <w:highlight w:val="yellow"/>
                <w:lang w:val="en-ID" w:eastAsia="id-ID"/>
              </w:rPr>
              <m:t>24</m:t>
            </m:r>
          </m:sub>
        </m:sSub>
      </m:oMath>
      <w:r w:rsidRPr="00AE00EB">
        <w:rPr>
          <w:rFonts w:ascii="Times New Roman" w:eastAsia="Times New Roman" w:hAnsi="Times New Roman" w:cs="Times New Roman"/>
          <w:szCs w:val="24"/>
          <w:highlight w:val="yellow"/>
          <w:lang w:val="en-ID" w:eastAsia="id-ID"/>
        </w:rPr>
        <w:t xml:space="preserve"> and </w:t>
      </w:r>
      <m:oMath>
        <m:sSub>
          <m:sSubPr>
            <m:ctrlPr>
              <w:rPr>
                <w:rFonts w:ascii="Cambria Math" w:eastAsia="Times New Roman" w:hAnsi="Cambria Math" w:cs="Times New Roman"/>
                <w:szCs w:val="24"/>
                <w:highlight w:val="yellow"/>
                <w:lang w:val="en-ID" w:eastAsia="id-ID"/>
              </w:rPr>
            </m:ctrlPr>
          </m:sSubPr>
          <m:e>
            <m:r>
              <m:rPr>
                <m:nor/>
              </m:rPr>
              <w:rPr>
                <w:rFonts w:ascii="Times New Roman" w:eastAsia="Times New Roman" w:hAnsi="Times New Roman" w:cs="Times New Roman"/>
                <w:szCs w:val="24"/>
                <w:highlight w:val="yellow"/>
                <w:lang w:val="en-ID" w:eastAsia="id-ID"/>
              </w:rPr>
              <m:t>Al</m:t>
            </m:r>
          </m:e>
          <m:sub>
            <m:r>
              <w:rPr>
                <w:rFonts w:ascii="Cambria Math" w:eastAsia="Times New Roman" w:hAnsi="Cambria Math" w:cs="Times New Roman"/>
                <w:szCs w:val="24"/>
                <w:highlight w:val="yellow"/>
                <w:lang w:val="en-ID" w:eastAsia="id-ID"/>
              </w:rPr>
              <m:t>12</m:t>
            </m:r>
          </m:sub>
        </m:sSub>
        <m:sSub>
          <m:sSubPr>
            <m:ctrlPr>
              <w:rPr>
                <w:rFonts w:ascii="Cambria Math" w:eastAsia="Times New Roman" w:hAnsi="Cambria Math" w:cs="Times New Roman"/>
                <w:szCs w:val="24"/>
                <w:highlight w:val="yellow"/>
                <w:lang w:val="en-ID" w:eastAsia="id-ID"/>
              </w:rPr>
            </m:ctrlPr>
          </m:sSubPr>
          <m:e>
            <m:r>
              <m:rPr>
                <m:nor/>
              </m:rPr>
              <w:rPr>
                <w:rFonts w:ascii="Times New Roman" w:eastAsia="Times New Roman" w:hAnsi="Times New Roman" w:cs="Times New Roman"/>
                <w:szCs w:val="24"/>
                <w:highlight w:val="yellow"/>
                <w:lang w:val="en-ID" w:eastAsia="id-ID"/>
              </w:rPr>
              <m:t>P</m:t>
            </m:r>
          </m:e>
          <m:sub>
            <m:r>
              <w:rPr>
                <w:rFonts w:ascii="Cambria Math" w:eastAsia="Times New Roman" w:hAnsi="Cambria Math" w:cs="Times New Roman"/>
                <w:szCs w:val="24"/>
                <w:highlight w:val="yellow"/>
                <w:lang w:val="en-ID" w:eastAsia="id-ID"/>
              </w:rPr>
              <m:t>12</m:t>
            </m:r>
          </m:sub>
        </m:sSub>
      </m:oMath>
      <w:r w:rsidRPr="00AE00EB">
        <w:rPr>
          <w:rFonts w:ascii="Times New Roman" w:eastAsia="Times New Roman" w:hAnsi="Times New Roman" w:cs="Times New Roman"/>
          <w:szCs w:val="24"/>
          <w:highlight w:val="yellow"/>
          <w:lang w:val="en-ID" w:eastAsia="id-ID"/>
        </w:rPr>
        <w:t xml:space="preserve"> as high-performance lithium-ion battery anodes.</w:t>
      </w:r>
    </w:p>
    <w:p w14:paraId="237D4236" w14:textId="77777777" w:rsidR="00B95007" w:rsidRPr="00AE00EB" w:rsidRDefault="00B95007" w:rsidP="00B95007">
      <w:pPr>
        <w:spacing w:line="276" w:lineRule="auto"/>
        <w:rPr>
          <w:rFonts w:ascii="Times New Roman" w:hAnsi="Times New Roman" w:cs="Times New Roman"/>
          <w:szCs w:val="24"/>
        </w:rPr>
      </w:pPr>
    </w:p>
    <w:p w14:paraId="0BF44424" w14:textId="77777777" w:rsidR="00B95007" w:rsidRPr="00AE00EB" w:rsidRDefault="00B95007" w:rsidP="00B95007">
      <w:pPr>
        <w:spacing w:after="0" w:line="240" w:lineRule="auto"/>
        <w:jc w:val="both"/>
        <w:rPr>
          <w:rFonts w:ascii="Times New Roman" w:hAnsi="Times New Roman" w:cs="Times New Roman"/>
          <w:szCs w:val="24"/>
        </w:rPr>
      </w:pPr>
      <w:r w:rsidRPr="00AE00EB">
        <w:rPr>
          <w:rFonts w:ascii="Times New Roman" w:hAnsi="Times New Roman" w:cs="Times New Roman"/>
          <w:b/>
          <w:bCs/>
          <w:szCs w:val="24"/>
        </w:rPr>
        <w:t>Reviewer Comment point-</w:t>
      </w:r>
      <w:r w:rsidRPr="00AE00EB">
        <w:rPr>
          <w:rFonts w:ascii="Times New Roman" w:hAnsi="Times New Roman" w:cs="Times New Roman"/>
          <w:szCs w:val="24"/>
        </w:rPr>
        <w:t>7:</w:t>
      </w:r>
    </w:p>
    <w:p w14:paraId="1E401389" w14:textId="34E6C0A4" w:rsidR="00B95007" w:rsidRPr="00AE00EB" w:rsidRDefault="00B95007" w:rsidP="00B95007">
      <w:pPr>
        <w:spacing w:after="0" w:line="240" w:lineRule="auto"/>
        <w:jc w:val="both"/>
        <w:rPr>
          <w:rFonts w:ascii="Times New Roman" w:hAnsi="Times New Roman" w:cs="Times New Roman"/>
          <w:szCs w:val="24"/>
        </w:rPr>
      </w:pPr>
      <w:r w:rsidRPr="00AE00EB">
        <w:rPr>
          <w:rFonts w:ascii="Times New Roman" w:hAnsi="Times New Roman" w:cs="Times New Roman"/>
          <w:szCs w:val="24"/>
        </w:rPr>
        <w:t>Chemical notation (Li/Li+), subscripts, punctuation, equation formatting, table headings, figure labels, and terminology should be standardized throughout. This will considerably improve readability and presentation quality.</w:t>
      </w:r>
    </w:p>
    <w:p w14:paraId="4CE349BC" w14:textId="77777777" w:rsidR="00AE00EB" w:rsidRPr="00AE00EB" w:rsidRDefault="00AE00EB" w:rsidP="00B95007">
      <w:pPr>
        <w:spacing w:after="0" w:line="240" w:lineRule="auto"/>
        <w:jc w:val="both"/>
        <w:rPr>
          <w:rFonts w:ascii="Times New Roman" w:hAnsi="Times New Roman" w:cs="Times New Roman"/>
          <w:szCs w:val="24"/>
        </w:rPr>
      </w:pPr>
    </w:p>
    <w:p w14:paraId="00D37EBA" w14:textId="77777777" w:rsidR="00B95007" w:rsidRPr="00AE00EB" w:rsidRDefault="00B95007" w:rsidP="00B95007">
      <w:pPr>
        <w:spacing w:after="0" w:line="240" w:lineRule="auto"/>
        <w:jc w:val="both"/>
        <w:rPr>
          <w:rFonts w:ascii="Times New Roman" w:hAnsi="Times New Roman" w:cs="Times New Roman"/>
          <w:color w:val="0000FF"/>
          <w:szCs w:val="24"/>
        </w:rPr>
      </w:pPr>
      <w:r w:rsidRPr="00AE00EB">
        <w:rPr>
          <w:rFonts w:ascii="Times New Roman" w:hAnsi="Times New Roman" w:cs="Times New Roman"/>
          <w:color w:val="0000FF"/>
          <w:szCs w:val="24"/>
        </w:rPr>
        <w:t>Response:</w:t>
      </w:r>
    </w:p>
    <w:p w14:paraId="74E23153" w14:textId="00F9736A" w:rsidR="00B95007" w:rsidRPr="00AE00EB" w:rsidRDefault="00B95007" w:rsidP="00B95007">
      <w:pPr>
        <w:spacing w:after="0" w:line="240" w:lineRule="auto"/>
        <w:jc w:val="both"/>
        <w:rPr>
          <w:rFonts w:ascii="Times New Roman" w:hAnsi="Times New Roman" w:cs="Times New Roman"/>
          <w:color w:val="0000FF"/>
          <w:szCs w:val="24"/>
          <w:lang w:val="en-ID"/>
        </w:rPr>
      </w:pPr>
      <w:r w:rsidRPr="00AE00EB">
        <w:rPr>
          <w:rFonts w:ascii="Times New Roman" w:hAnsi="Times New Roman" w:cs="Times New Roman"/>
          <w:color w:val="0000FF"/>
          <w:szCs w:val="24"/>
          <w:lang w:val="en-ID"/>
        </w:rPr>
        <w:t xml:space="preserve">We sincerely thank the reviewer for this helpful recommendation. We have conducted a thorough, manuscript-wide check to standardize all formatting elements. Specifically, we have ensured consistent formatting and proper subscripts for all chemical notations (e.g.,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C</m:t>
            </m:r>
          </m:e>
          <m:sub>
            <m:r>
              <w:rPr>
                <w:rFonts w:ascii="Cambria Math" w:hAnsi="Cambria Math" w:cs="Times New Roman"/>
                <w:color w:val="0000FF"/>
                <w:szCs w:val="24"/>
                <w:lang w:val="en-ID"/>
              </w:rPr>
              <m:t>24</m:t>
            </m:r>
          </m:sub>
        </m:sSub>
      </m:oMath>
      <w:r w:rsidRPr="00AE00EB">
        <w:rPr>
          <w:rFonts w:ascii="Times New Roman" w:hAnsi="Times New Roman" w:cs="Times New Roman"/>
          <w:color w:val="0000FF"/>
          <w:szCs w:val="24"/>
          <w:lang w:val="en-ID"/>
        </w:rPr>
        <w:t xml:space="preserve">,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B</m:t>
            </m:r>
          </m:e>
          <m:sub>
            <m:r>
              <w:rPr>
                <w:rFonts w:ascii="Cambria Math" w:hAnsi="Cambria Math" w:cs="Times New Roman"/>
                <w:color w:val="0000FF"/>
                <w:szCs w:val="24"/>
                <w:lang w:val="en-ID"/>
              </w:rPr>
              <m:t>12</m:t>
            </m:r>
          </m:sub>
        </m:sSub>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N</m:t>
            </m:r>
          </m:e>
          <m:sub>
            <m:r>
              <w:rPr>
                <w:rFonts w:ascii="Cambria Math" w:hAnsi="Cambria Math" w:cs="Times New Roman"/>
                <w:color w:val="0000FF"/>
                <w:szCs w:val="24"/>
                <w:lang w:val="en-ID"/>
              </w:rPr>
              <m:t>12</m:t>
            </m:r>
          </m:sub>
        </m:sSub>
      </m:oMath>
      <w:r w:rsidRPr="00AE00EB">
        <w:rPr>
          <w:rFonts w:ascii="Times New Roman" w:hAnsi="Times New Roman" w:cs="Times New Roman"/>
          <w:color w:val="0000FF"/>
          <w:szCs w:val="24"/>
          <w:lang w:val="en-ID"/>
        </w:rPr>
        <w:t xml:space="preserve">,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Be</m:t>
            </m:r>
          </m:e>
          <m:sub>
            <m:r>
              <w:rPr>
                <w:rFonts w:ascii="Cambria Math" w:hAnsi="Cambria Math" w:cs="Times New Roman"/>
                <w:color w:val="0000FF"/>
                <w:szCs w:val="24"/>
                <w:lang w:val="en-ID"/>
              </w:rPr>
              <m:t>12</m:t>
            </m:r>
          </m:sub>
        </m:sSub>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O</m:t>
            </m:r>
          </m:e>
          <m:sub>
            <m:r>
              <w:rPr>
                <w:rFonts w:ascii="Cambria Math" w:hAnsi="Cambria Math" w:cs="Times New Roman"/>
                <w:color w:val="0000FF"/>
                <w:szCs w:val="24"/>
                <w:lang w:val="en-ID"/>
              </w:rPr>
              <m:t>12</m:t>
            </m:r>
          </m:sub>
        </m:sSub>
      </m:oMath>
      <w:r w:rsidRPr="00AE00EB">
        <w:rPr>
          <w:rFonts w:ascii="Times New Roman" w:hAnsi="Times New Roman" w:cs="Times New Roman"/>
          <w:color w:val="0000FF"/>
          <w:szCs w:val="24"/>
          <w:lang w:val="en-ID"/>
        </w:rPr>
        <w:t xml:space="preserve">, </w:t>
      </w:r>
      <m:oMath>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Al</m:t>
            </m:r>
          </m:e>
          <m:sub>
            <m:r>
              <w:rPr>
                <w:rFonts w:ascii="Cambria Math" w:hAnsi="Cambria Math" w:cs="Times New Roman"/>
                <w:color w:val="0000FF"/>
                <w:szCs w:val="24"/>
                <w:lang w:val="en-ID"/>
              </w:rPr>
              <m:t>12</m:t>
            </m:r>
          </m:sub>
        </m:sSub>
        <m:sSub>
          <m:sSubPr>
            <m:ctrlPr>
              <w:rPr>
                <w:rFonts w:ascii="Cambria Math" w:hAnsi="Cambria Math" w:cs="Times New Roman"/>
                <w:color w:val="0000FF"/>
                <w:szCs w:val="24"/>
                <w:lang w:val="en-ID"/>
              </w:rPr>
            </m:ctrlPr>
          </m:sSubPr>
          <m:e>
            <m:r>
              <m:rPr>
                <m:nor/>
              </m:rPr>
              <w:rPr>
                <w:rFonts w:ascii="Times New Roman" w:hAnsi="Times New Roman" w:cs="Times New Roman"/>
                <w:color w:val="0000FF"/>
                <w:szCs w:val="24"/>
                <w:lang w:val="en-ID"/>
              </w:rPr>
              <m:t>P</m:t>
            </m:r>
          </m:e>
          <m:sub>
            <m:r>
              <w:rPr>
                <w:rFonts w:ascii="Cambria Math" w:hAnsi="Cambria Math" w:cs="Times New Roman"/>
                <w:color w:val="0000FF"/>
                <w:szCs w:val="24"/>
                <w:lang w:val="en-ID"/>
              </w:rPr>
              <m:t>12</m:t>
            </m:r>
          </m:sub>
        </m:sSub>
      </m:oMath>
      <w:r w:rsidRPr="00AE00EB">
        <w:rPr>
          <w:rFonts w:ascii="Times New Roman" w:hAnsi="Times New Roman" w:cs="Times New Roman"/>
          <w:color w:val="0000FF"/>
          <w:szCs w:val="24"/>
          <w:lang w:val="en-ID"/>
        </w:rPr>
        <w:t xml:space="preserve">, </w:t>
      </w:r>
      <m:oMath>
        <m:r>
          <m:rPr>
            <m:nor/>
          </m:rPr>
          <w:rPr>
            <w:rFonts w:ascii="Times New Roman" w:hAnsi="Times New Roman" w:cs="Times New Roman"/>
            <w:color w:val="0000FF"/>
            <w:szCs w:val="24"/>
            <w:lang w:val="en-ID"/>
          </w:rPr>
          <m:t>Li</m:t>
        </m:r>
      </m:oMath>
      <w:r w:rsidRPr="00AE00EB">
        <w:rPr>
          <w:rFonts w:ascii="Times New Roman" w:hAnsi="Times New Roman" w:cs="Times New Roman"/>
          <w:color w:val="0000FF"/>
          <w:szCs w:val="24"/>
          <w:lang w:val="en-ID"/>
        </w:rPr>
        <w:t xml:space="preserve">, and </w:t>
      </w:r>
      <m:oMath>
        <m:sSup>
          <m:sSupPr>
            <m:ctrlPr>
              <w:rPr>
                <w:rFonts w:ascii="Cambria Math" w:hAnsi="Cambria Math" w:cs="Times New Roman"/>
                <w:color w:val="0000FF"/>
                <w:szCs w:val="24"/>
                <w:lang w:val="en-ID"/>
              </w:rPr>
            </m:ctrlPr>
          </m:sSupPr>
          <m:e>
            <m:r>
              <m:rPr>
                <m:nor/>
              </m:rPr>
              <w:rPr>
                <w:rFonts w:ascii="Times New Roman" w:hAnsi="Times New Roman" w:cs="Times New Roman"/>
                <w:color w:val="0000FF"/>
                <w:szCs w:val="24"/>
                <w:lang w:val="en-ID"/>
              </w:rPr>
              <m:t>Li</m:t>
            </m:r>
          </m:e>
          <m:sup>
            <m:r>
              <w:rPr>
                <w:rFonts w:ascii="Cambria Math" w:hAnsi="Cambria Math" w:cs="Times New Roman"/>
                <w:color w:val="0000FF"/>
                <w:szCs w:val="24"/>
                <w:lang w:val="en-ID"/>
              </w:rPr>
              <m:t>+</m:t>
            </m:r>
          </m:sup>
        </m:sSup>
      </m:oMath>
      <w:r w:rsidRPr="00AE00EB">
        <w:rPr>
          <w:rFonts w:ascii="Times New Roman" w:hAnsi="Times New Roman" w:cs="Times New Roman"/>
          <w:color w:val="0000FF"/>
          <w:szCs w:val="24"/>
          <w:lang w:val="en-ID"/>
        </w:rPr>
        <w:t>), uniform punctuation and equation styles, and standardized terminology, table headings, and figure labels across the entire document. These changes significantly enhance the overall readability and presentation quality of the manuscript.</w:t>
      </w:r>
    </w:p>
    <w:p w14:paraId="4AC4F40D" w14:textId="77777777" w:rsidR="00B95007" w:rsidRPr="00AE00EB" w:rsidRDefault="00B95007" w:rsidP="00B95007">
      <w:pPr>
        <w:spacing w:after="0" w:line="240" w:lineRule="auto"/>
        <w:jc w:val="both"/>
        <w:rPr>
          <w:rFonts w:ascii="Times New Roman" w:hAnsi="Times New Roman" w:cs="Times New Roman"/>
          <w:szCs w:val="24"/>
          <w:lang w:val="en-ID"/>
        </w:rPr>
      </w:pPr>
    </w:p>
    <w:p w14:paraId="6B613925" w14:textId="77777777" w:rsidR="00B95007" w:rsidRPr="00AE00EB" w:rsidRDefault="00B95007" w:rsidP="00B95007">
      <w:pPr>
        <w:spacing w:after="0" w:line="240" w:lineRule="auto"/>
        <w:jc w:val="both"/>
        <w:rPr>
          <w:rFonts w:ascii="Times New Roman" w:hAnsi="Times New Roman" w:cs="Times New Roman"/>
          <w:szCs w:val="24"/>
          <w:lang w:val="en-ID"/>
        </w:rPr>
      </w:pPr>
    </w:p>
    <w:p w14:paraId="4A20830A" w14:textId="77777777" w:rsidR="00B95007" w:rsidRPr="00AE00EB" w:rsidRDefault="00B95007" w:rsidP="00B95007">
      <w:pPr>
        <w:spacing w:after="0" w:line="240" w:lineRule="auto"/>
        <w:jc w:val="both"/>
        <w:rPr>
          <w:rFonts w:ascii="Times New Roman" w:hAnsi="Times New Roman" w:cs="Times New Roman"/>
          <w:szCs w:val="24"/>
          <w:lang w:val="en-ID"/>
        </w:rPr>
      </w:pPr>
    </w:p>
    <w:p w14:paraId="0BFB021D" w14:textId="77777777" w:rsidR="00B95007" w:rsidRPr="00AE00EB" w:rsidRDefault="00B95007" w:rsidP="00B95007">
      <w:pPr>
        <w:spacing w:after="0" w:line="240" w:lineRule="auto"/>
        <w:jc w:val="both"/>
        <w:rPr>
          <w:rFonts w:ascii="Times New Roman" w:hAnsi="Times New Roman" w:cs="Times New Roman"/>
          <w:szCs w:val="24"/>
        </w:rPr>
      </w:pPr>
    </w:p>
    <w:p w14:paraId="50F77394" w14:textId="77777777" w:rsidR="00B95007" w:rsidRPr="00AE00EB" w:rsidRDefault="00B95007" w:rsidP="004B1149">
      <w:pPr>
        <w:spacing w:line="276" w:lineRule="auto"/>
        <w:ind w:firstLine="567"/>
        <w:rPr>
          <w:rFonts w:ascii="Times New Roman" w:hAnsi="Times New Roman" w:cs="Times New Roman"/>
          <w:szCs w:val="24"/>
        </w:rPr>
      </w:pPr>
    </w:p>
    <w:p w14:paraId="136B0B63" w14:textId="77777777" w:rsidR="004B1149" w:rsidRPr="00AE00EB" w:rsidRDefault="004B1149" w:rsidP="001D0A39">
      <w:pPr>
        <w:spacing w:after="0" w:line="240" w:lineRule="auto"/>
        <w:jc w:val="both"/>
        <w:rPr>
          <w:rFonts w:ascii="Times New Roman" w:hAnsi="Times New Roman" w:cs="Times New Roman"/>
          <w:b/>
          <w:bCs/>
          <w:szCs w:val="24"/>
          <w:lang w:val="en-ID"/>
        </w:rPr>
      </w:pPr>
    </w:p>
    <w:sectPr w:rsidR="004B1149" w:rsidRPr="00AE00EB">
      <w:footerReference w:type="default" r:id="rId8"/>
      <w:pgSz w:w="12240" w:h="15840"/>
      <w:pgMar w:top="1985"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B07ED" w14:textId="77777777" w:rsidR="000A49EB" w:rsidRDefault="000A49EB" w:rsidP="00825F2C">
      <w:pPr>
        <w:spacing w:after="0" w:line="240" w:lineRule="auto"/>
      </w:pPr>
      <w:r>
        <w:separator/>
      </w:r>
    </w:p>
  </w:endnote>
  <w:endnote w:type="continuationSeparator" w:id="0">
    <w:p w14:paraId="2E1711D7" w14:textId="77777777" w:rsidR="000A49EB" w:rsidRDefault="000A49EB" w:rsidP="00825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336735"/>
      <w:docPartObj>
        <w:docPartGallery w:val="Page Numbers (Bottom of Page)"/>
        <w:docPartUnique/>
      </w:docPartObj>
    </w:sdtPr>
    <w:sdtEndPr>
      <w:rPr>
        <w:rFonts w:ascii="Times New Roman" w:hAnsi="Times New Roman" w:cs="Times New Roman"/>
        <w:noProof/>
        <w:szCs w:val="24"/>
      </w:rPr>
    </w:sdtEndPr>
    <w:sdtContent>
      <w:p w14:paraId="2E8516ED" w14:textId="56D4CB54" w:rsidR="00825F2C" w:rsidRPr="00B906E6" w:rsidRDefault="00825F2C">
        <w:pPr>
          <w:pStyle w:val="Footer"/>
          <w:jc w:val="center"/>
          <w:rPr>
            <w:rFonts w:ascii="Times New Roman" w:hAnsi="Times New Roman" w:cs="Times New Roman"/>
            <w:szCs w:val="24"/>
          </w:rPr>
        </w:pPr>
        <w:r w:rsidRPr="00B906E6">
          <w:rPr>
            <w:rFonts w:ascii="Times New Roman" w:hAnsi="Times New Roman" w:cs="Times New Roman"/>
            <w:szCs w:val="24"/>
          </w:rPr>
          <w:fldChar w:fldCharType="begin"/>
        </w:r>
        <w:r w:rsidRPr="00B906E6">
          <w:rPr>
            <w:rFonts w:ascii="Times New Roman" w:hAnsi="Times New Roman" w:cs="Times New Roman"/>
            <w:szCs w:val="24"/>
          </w:rPr>
          <w:instrText xml:space="preserve"> PAGE   \* MERGEFORMAT </w:instrText>
        </w:r>
        <w:r w:rsidRPr="00B906E6">
          <w:rPr>
            <w:rFonts w:ascii="Times New Roman" w:hAnsi="Times New Roman" w:cs="Times New Roman"/>
            <w:szCs w:val="24"/>
          </w:rPr>
          <w:fldChar w:fldCharType="separate"/>
        </w:r>
        <w:r w:rsidRPr="00B906E6">
          <w:rPr>
            <w:rFonts w:ascii="Times New Roman" w:hAnsi="Times New Roman" w:cs="Times New Roman"/>
            <w:noProof/>
            <w:szCs w:val="24"/>
          </w:rPr>
          <w:t>2</w:t>
        </w:r>
        <w:r w:rsidRPr="00B906E6">
          <w:rPr>
            <w:rFonts w:ascii="Times New Roman" w:hAnsi="Times New Roman" w:cs="Times New Roman"/>
            <w:noProof/>
            <w:szCs w:val="24"/>
          </w:rPr>
          <w:fldChar w:fldCharType="end"/>
        </w:r>
      </w:p>
    </w:sdtContent>
  </w:sdt>
  <w:p w14:paraId="27C1677B" w14:textId="77777777" w:rsidR="00825F2C" w:rsidRDefault="00825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F59FF" w14:textId="77777777" w:rsidR="000A49EB" w:rsidRDefault="000A49EB" w:rsidP="00825F2C">
      <w:pPr>
        <w:spacing w:after="0" w:line="240" w:lineRule="auto"/>
      </w:pPr>
      <w:r>
        <w:separator/>
      </w:r>
    </w:p>
  </w:footnote>
  <w:footnote w:type="continuationSeparator" w:id="0">
    <w:p w14:paraId="3D2EE2F5" w14:textId="77777777" w:rsidR="000A49EB" w:rsidRDefault="000A49EB" w:rsidP="00825F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D2A"/>
    <w:multiLevelType w:val="multilevel"/>
    <w:tmpl w:val="D4B24F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506C45"/>
    <w:multiLevelType w:val="multilevel"/>
    <w:tmpl w:val="E6725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D55E1"/>
    <w:multiLevelType w:val="multilevel"/>
    <w:tmpl w:val="A5A076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EC4618"/>
    <w:multiLevelType w:val="multilevel"/>
    <w:tmpl w:val="A72EF8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22223"/>
    <w:multiLevelType w:val="multilevel"/>
    <w:tmpl w:val="B9BAC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5F3C1F"/>
    <w:multiLevelType w:val="multilevel"/>
    <w:tmpl w:val="6ECE49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B9672C"/>
    <w:multiLevelType w:val="multilevel"/>
    <w:tmpl w:val="BFDE5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5645E6"/>
    <w:multiLevelType w:val="multilevel"/>
    <w:tmpl w:val="85489E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9B2549"/>
    <w:multiLevelType w:val="multilevel"/>
    <w:tmpl w:val="1E32D8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2016E5"/>
    <w:multiLevelType w:val="multilevel"/>
    <w:tmpl w:val="0428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C45553"/>
    <w:multiLevelType w:val="multilevel"/>
    <w:tmpl w:val="33325A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0D4F40"/>
    <w:multiLevelType w:val="multilevel"/>
    <w:tmpl w:val="177411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A750C0"/>
    <w:multiLevelType w:val="hybridMultilevel"/>
    <w:tmpl w:val="D5826F34"/>
    <w:lvl w:ilvl="0" w:tplc="E3CE13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7D1E24"/>
    <w:multiLevelType w:val="multilevel"/>
    <w:tmpl w:val="17407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AB6418"/>
    <w:multiLevelType w:val="multilevel"/>
    <w:tmpl w:val="65282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473F7A"/>
    <w:multiLevelType w:val="multilevel"/>
    <w:tmpl w:val="EA8C8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B8633C"/>
    <w:multiLevelType w:val="multilevel"/>
    <w:tmpl w:val="A7421D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452F6A"/>
    <w:multiLevelType w:val="multilevel"/>
    <w:tmpl w:val="61C88B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DC2AD8"/>
    <w:multiLevelType w:val="multilevel"/>
    <w:tmpl w:val="A4E68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AA0087"/>
    <w:multiLevelType w:val="hybridMultilevel"/>
    <w:tmpl w:val="2A486D08"/>
    <w:lvl w:ilvl="0" w:tplc="5C9A1BD6">
      <w:start w:val="1"/>
      <w:numFmt w:val="decimal"/>
      <w:lvlText w:val="%1)"/>
      <w:lvlJc w:val="left"/>
      <w:pPr>
        <w:ind w:left="786" w:hanging="360"/>
      </w:pPr>
      <w:rPr>
        <w:rFonts w:eastAsiaTheme="minorEastAsia" w:hint="default"/>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5BD536B1"/>
    <w:multiLevelType w:val="multilevel"/>
    <w:tmpl w:val="D27EE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B91848"/>
    <w:multiLevelType w:val="multilevel"/>
    <w:tmpl w:val="88FA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9E4649"/>
    <w:multiLevelType w:val="multilevel"/>
    <w:tmpl w:val="462C8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14339B"/>
    <w:multiLevelType w:val="multilevel"/>
    <w:tmpl w:val="F6DA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C66063"/>
    <w:multiLevelType w:val="multilevel"/>
    <w:tmpl w:val="E3CCAC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A351C6"/>
    <w:multiLevelType w:val="multilevel"/>
    <w:tmpl w:val="DA46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8C1F1E"/>
    <w:multiLevelType w:val="multilevel"/>
    <w:tmpl w:val="D0FAB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1107F5"/>
    <w:multiLevelType w:val="multilevel"/>
    <w:tmpl w:val="C6449D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7051646">
    <w:abstractNumId w:val="12"/>
  </w:num>
  <w:num w:numId="2" w16cid:durableId="727730475">
    <w:abstractNumId w:val="19"/>
  </w:num>
  <w:num w:numId="3" w16cid:durableId="481655322">
    <w:abstractNumId w:val="13"/>
  </w:num>
  <w:num w:numId="4" w16cid:durableId="1291203918">
    <w:abstractNumId w:val="3"/>
  </w:num>
  <w:num w:numId="5" w16cid:durableId="42948010">
    <w:abstractNumId w:val="7"/>
  </w:num>
  <w:num w:numId="6" w16cid:durableId="672950641">
    <w:abstractNumId w:val="10"/>
  </w:num>
  <w:num w:numId="7" w16cid:durableId="1365134347">
    <w:abstractNumId w:val="16"/>
  </w:num>
  <w:num w:numId="8" w16cid:durableId="1822961430">
    <w:abstractNumId w:val="22"/>
  </w:num>
  <w:num w:numId="9" w16cid:durableId="2095977702">
    <w:abstractNumId w:val="8"/>
  </w:num>
  <w:num w:numId="10" w16cid:durableId="1422262552">
    <w:abstractNumId w:val="24"/>
  </w:num>
  <w:num w:numId="11" w16cid:durableId="2141877570">
    <w:abstractNumId w:val="5"/>
  </w:num>
  <w:num w:numId="12" w16cid:durableId="323163475">
    <w:abstractNumId w:val="11"/>
  </w:num>
  <w:num w:numId="13" w16cid:durableId="373166166">
    <w:abstractNumId w:val="15"/>
  </w:num>
  <w:num w:numId="14" w16cid:durableId="1197699539">
    <w:abstractNumId w:val="6"/>
  </w:num>
  <w:num w:numId="15" w16cid:durableId="1859729948">
    <w:abstractNumId w:val="27"/>
  </w:num>
  <w:num w:numId="16" w16cid:durableId="2030141000">
    <w:abstractNumId w:val="2"/>
  </w:num>
  <w:num w:numId="17" w16cid:durableId="770012944">
    <w:abstractNumId w:val="17"/>
  </w:num>
  <w:num w:numId="18" w16cid:durableId="13849729">
    <w:abstractNumId w:val="0"/>
  </w:num>
  <w:num w:numId="19" w16cid:durableId="2075084318">
    <w:abstractNumId w:val="21"/>
  </w:num>
  <w:num w:numId="20" w16cid:durableId="1645618155">
    <w:abstractNumId w:val="20"/>
  </w:num>
  <w:num w:numId="21" w16cid:durableId="39864184">
    <w:abstractNumId w:val="9"/>
  </w:num>
  <w:num w:numId="22" w16cid:durableId="189226377">
    <w:abstractNumId w:val="26"/>
  </w:num>
  <w:num w:numId="23" w16cid:durableId="1013068290">
    <w:abstractNumId w:val="25"/>
  </w:num>
  <w:num w:numId="24" w16cid:durableId="1387483834">
    <w:abstractNumId w:val="1"/>
  </w:num>
  <w:num w:numId="25" w16cid:durableId="1526360656">
    <w:abstractNumId w:val="4"/>
  </w:num>
  <w:num w:numId="26" w16cid:durableId="214198617">
    <w:abstractNumId w:val="18"/>
  </w:num>
  <w:num w:numId="27" w16cid:durableId="1370454664">
    <w:abstractNumId w:val="23"/>
  </w:num>
  <w:num w:numId="28" w16cid:durableId="6145619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B3"/>
    <w:rsid w:val="000022A0"/>
    <w:rsid w:val="00014362"/>
    <w:rsid w:val="00020A05"/>
    <w:rsid w:val="00023175"/>
    <w:rsid w:val="00026327"/>
    <w:rsid w:val="00035653"/>
    <w:rsid w:val="000526F8"/>
    <w:rsid w:val="0005757E"/>
    <w:rsid w:val="00076DAC"/>
    <w:rsid w:val="00077F1F"/>
    <w:rsid w:val="00082C07"/>
    <w:rsid w:val="00084635"/>
    <w:rsid w:val="00094C85"/>
    <w:rsid w:val="000A49EB"/>
    <w:rsid w:val="000B59E5"/>
    <w:rsid w:val="000D4EF4"/>
    <w:rsid w:val="000F72A4"/>
    <w:rsid w:val="001159D6"/>
    <w:rsid w:val="00131800"/>
    <w:rsid w:val="0014721B"/>
    <w:rsid w:val="00153CDF"/>
    <w:rsid w:val="00196C76"/>
    <w:rsid w:val="00196D6C"/>
    <w:rsid w:val="00197591"/>
    <w:rsid w:val="001A34AF"/>
    <w:rsid w:val="001A484D"/>
    <w:rsid w:val="001B39CF"/>
    <w:rsid w:val="001C0051"/>
    <w:rsid w:val="001D0A39"/>
    <w:rsid w:val="001D0E46"/>
    <w:rsid w:val="001D6C24"/>
    <w:rsid w:val="001E0861"/>
    <w:rsid w:val="001F3F8A"/>
    <w:rsid w:val="001F6299"/>
    <w:rsid w:val="00200660"/>
    <w:rsid w:val="002065A0"/>
    <w:rsid w:val="00222016"/>
    <w:rsid w:val="00244CEB"/>
    <w:rsid w:val="00257AE4"/>
    <w:rsid w:val="00263D2D"/>
    <w:rsid w:val="00273183"/>
    <w:rsid w:val="00277EBF"/>
    <w:rsid w:val="00287E27"/>
    <w:rsid w:val="00293351"/>
    <w:rsid w:val="002C7DF9"/>
    <w:rsid w:val="002D3622"/>
    <w:rsid w:val="00314BBE"/>
    <w:rsid w:val="0032423E"/>
    <w:rsid w:val="0032539B"/>
    <w:rsid w:val="00326743"/>
    <w:rsid w:val="003311FB"/>
    <w:rsid w:val="00362A94"/>
    <w:rsid w:val="003A561F"/>
    <w:rsid w:val="003A7017"/>
    <w:rsid w:val="003C1FB8"/>
    <w:rsid w:val="003C4DA8"/>
    <w:rsid w:val="003D2C7C"/>
    <w:rsid w:val="003F74EC"/>
    <w:rsid w:val="004012D7"/>
    <w:rsid w:val="00412E1E"/>
    <w:rsid w:val="00446D18"/>
    <w:rsid w:val="0048317C"/>
    <w:rsid w:val="004A28E2"/>
    <w:rsid w:val="004B0E13"/>
    <w:rsid w:val="004B1149"/>
    <w:rsid w:val="004B3EA0"/>
    <w:rsid w:val="004C3FF6"/>
    <w:rsid w:val="004F6473"/>
    <w:rsid w:val="00501CE2"/>
    <w:rsid w:val="00501CF5"/>
    <w:rsid w:val="00504469"/>
    <w:rsid w:val="00504E94"/>
    <w:rsid w:val="005054FE"/>
    <w:rsid w:val="005059EF"/>
    <w:rsid w:val="005131C4"/>
    <w:rsid w:val="005477D6"/>
    <w:rsid w:val="00550E9D"/>
    <w:rsid w:val="00573B9F"/>
    <w:rsid w:val="00580FE5"/>
    <w:rsid w:val="00583856"/>
    <w:rsid w:val="005A1A29"/>
    <w:rsid w:val="005A754A"/>
    <w:rsid w:val="005B1FA9"/>
    <w:rsid w:val="005C0B4F"/>
    <w:rsid w:val="005E41C1"/>
    <w:rsid w:val="005F496C"/>
    <w:rsid w:val="00605EEF"/>
    <w:rsid w:val="00613ADD"/>
    <w:rsid w:val="00624F3F"/>
    <w:rsid w:val="006309C4"/>
    <w:rsid w:val="006365C9"/>
    <w:rsid w:val="00670142"/>
    <w:rsid w:val="006805DB"/>
    <w:rsid w:val="00691872"/>
    <w:rsid w:val="006936CC"/>
    <w:rsid w:val="00694FDF"/>
    <w:rsid w:val="006B1783"/>
    <w:rsid w:val="006C0851"/>
    <w:rsid w:val="006C6894"/>
    <w:rsid w:val="006D4543"/>
    <w:rsid w:val="006E2795"/>
    <w:rsid w:val="006E3734"/>
    <w:rsid w:val="006E4CC4"/>
    <w:rsid w:val="006F0E50"/>
    <w:rsid w:val="00704293"/>
    <w:rsid w:val="00706BBF"/>
    <w:rsid w:val="00710BAE"/>
    <w:rsid w:val="0072239D"/>
    <w:rsid w:val="00727489"/>
    <w:rsid w:val="00740C50"/>
    <w:rsid w:val="00747DE7"/>
    <w:rsid w:val="00781296"/>
    <w:rsid w:val="007812F3"/>
    <w:rsid w:val="0078517B"/>
    <w:rsid w:val="00793464"/>
    <w:rsid w:val="007A337D"/>
    <w:rsid w:val="007B48EF"/>
    <w:rsid w:val="007D41A0"/>
    <w:rsid w:val="007F19EA"/>
    <w:rsid w:val="00820AD6"/>
    <w:rsid w:val="00824A77"/>
    <w:rsid w:val="00825F2C"/>
    <w:rsid w:val="008420BF"/>
    <w:rsid w:val="00850AC0"/>
    <w:rsid w:val="00863E6B"/>
    <w:rsid w:val="0086698C"/>
    <w:rsid w:val="008677E6"/>
    <w:rsid w:val="008B0A17"/>
    <w:rsid w:val="008F453E"/>
    <w:rsid w:val="00904D35"/>
    <w:rsid w:val="00905532"/>
    <w:rsid w:val="00915C37"/>
    <w:rsid w:val="00916C2D"/>
    <w:rsid w:val="00917D45"/>
    <w:rsid w:val="009430FF"/>
    <w:rsid w:val="009626D6"/>
    <w:rsid w:val="009648F7"/>
    <w:rsid w:val="00972177"/>
    <w:rsid w:val="009859C5"/>
    <w:rsid w:val="009878C7"/>
    <w:rsid w:val="009879B3"/>
    <w:rsid w:val="00996F10"/>
    <w:rsid w:val="009C065E"/>
    <w:rsid w:val="009C261F"/>
    <w:rsid w:val="009C6AB9"/>
    <w:rsid w:val="009D12E0"/>
    <w:rsid w:val="009D34A9"/>
    <w:rsid w:val="009D4FC7"/>
    <w:rsid w:val="009E5A60"/>
    <w:rsid w:val="00A35308"/>
    <w:rsid w:val="00A35ECE"/>
    <w:rsid w:val="00A3768E"/>
    <w:rsid w:val="00A37AAC"/>
    <w:rsid w:val="00A50A2B"/>
    <w:rsid w:val="00A74D93"/>
    <w:rsid w:val="00A839BE"/>
    <w:rsid w:val="00A95FAE"/>
    <w:rsid w:val="00AB5CE6"/>
    <w:rsid w:val="00AB708A"/>
    <w:rsid w:val="00AE00EB"/>
    <w:rsid w:val="00AE4E44"/>
    <w:rsid w:val="00AE5F6D"/>
    <w:rsid w:val="00AF0235"/>
    <w:rsid w:val="00AF1234"/>
    <w:rsid w:val="00B20E3F"/>
    <w:rsid w:val="00B358A4"/>
    <w:rsid w:val="00B41AFC"/>
    <w:rsid w:val="00B723D1"/>
    <w:rsid w:val="00B73D45"/>
    <w:rsid w:val="00B8066B"/>
    <w:rsid w:val="00B906E6"/>
    <w:rsid w:val="00B95007"/>
    <w:rsid w:val="00BA5AAC"/>
    <w:rsid w:val="00BC3217"/>
    <w:rsid w:val="00BC38C7"/>
    <w:rsid w:val="00BD17F4"/>
    <w:rsid w:val="00BD2D91"/>
    <w:rsid w:val="00BD3A0C"/>
    <w:rsid w:val="00BE2590"/>
    <w:rsid w:val="00C05DDF"/>
    <w:rsid w:val="00C14E08"/>
    <w:rsid w:val="00C26069"/>
    <w:rsid w:val="00C30B33"/>
    <w:rsid w:val="00C4076C"/>
    <w:rsid w:val="00C504CD"/>
    <w:rsid w:val="00C54226"/>
    <w:rsid w:val="00C679A4"/>
    <w:rsid w:val="00C67A46"/>
    <w:rsid w:val="00C8072A"/>
    <w:rsid w:val="00CC675A"/>
    <w:rsid w:val="00CD49BB"/>
    <w:rsid w:val="00CD79EE"/>
    <w:rsid w:val="00CF4EBA"/>
    <w:rsid w:val="00D05A0C"/>
    <w:rsid w:val="00D36E76"/>
    <w:rsid w:val="00D71E4C"/>
    <w:rsid w:val="00DB40B1"/>
    <w:rsid w:val="00E01A2A"/>
    <w:rsid w:val="00E03D17"/>
    <w:rsid w:val="00E208AB"/>
    <w:rsid w:val="00E32714"/>
    <w:rsid w:val="00E34B92"/>
    <w:rsid w:val="00E47567"/>
    <w:rsid w:val="00E70884"/>
    <w:rsid w:val="00E74E15"/>
    <w:rsid w:val="00E86A15"/>
    <w:rsid w:val="00E934E5"/>
    <w:rsid w:val="00EA0537"/>
    <w:rsid w:val="00EB4C5A"/>
    <w:rsid w:val="00EB6A5F"/>
    <w:rsid w:val="00EC7A38"/>
    <w:rsid w:val="00EF380A"/>
    <w:rsid w:val="00F03EC8"/>
    <w:rsid w:val="00F06F76"/>
    <w:rsid w:val="00F06FF8"/>
    <w:rsid w:val="00F2367F"/>
    <w:rsid w:val="00F442E3"/>
    <w:rsid w:val="00F5015C"/>
    <w:rsid w:val="00F547CF"/>
    <w:rsid w:val="00F54D23"/>
    <w:rsid w:val="00F64334"/>
    <w:rsid w:val="00F76CE9"/>
    <w:rsid w:val="00F81D4E"/>
    <w:rsid w:val="00F832E5"/>
    <w:rsid w:val="00FB0360"/>
    <w:rsid w:val="00FC2B3B"/>
    <w:rsid w:val="00FC5CED"/>
    <w:rsid w:val="00FD6944"/>
    <w:rsid w:val="00FF2757"/>
    <w:rsid w:val="00FF71F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ACD9D"/>
  <w15:chartTrackingRefBased/>
  <w15:docId w15:val="{06E21D71-75F5-4FB9-B8EB-AC1ECF213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ja-JP"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007"/>
  </w:style>
  <w:style w:type="paragraph" w:styleId="Heading1">
    <w:name w:val="heading 1"/>
    <w:basedOn w:val="Normal"/>
    <w:next w:val="Normal"/>
    <w:link w:val="Heading1Char"/>
    <w:uiPriority w:val="9"/>
    <w:qFormat/>
    <w:rsid w:val="009879B3"/>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9879B3"/>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9879B3"/>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9879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79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9B3"/>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9879B3"/>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9879B3"/>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9879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9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9B3"/>
    <w:rPr>
      <w:rFonts w:eastAsiaTheme="majorEastAsia" w:cstheme="majorBidi"/>
      <w:color w:val="272727" w:themeColor="text1" w:themeTint="D8"/>
    </w:rPr>
  </w:style>
  <w:style w:type="paragraph" w:styleId="Title">
    <w:name w:val="Title"/>
    <w:basedOn w:val="Normal"/>
    <w:next w:val="Normal"/>
    <w:link w:val="TitleChar"/>
    <w:uiPriority w:val="10"/>
    <w:qFormat/>
    <w:rsid w:val="009879B3"/>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9879B3"/>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9879B3"/>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9879B3"/>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9879B3"/>
    <w:pPr>
      <w:spacing w:before="160"/>
      <w:jc w:val="center"/>
    </w:pPr>
    <w:rPr>
      <w:i/>
      <w:iCs/>
      <w:color w:val="404040" w:themeColor="text1" w:themeTint="BF"/>
    </w:rPr>
  </w:style>
  <w:style w:type="character" w:customStyle="1" w:styleId="QuoteChar">
    <w:name w:val="Quote Char"/>
    <w:basedOn w:val="DefaultParagraphFont"/>
    <w:link w:val="Quote"/>
    <w:uiPriority w:val="29"/>
    <w:rsid w:val="009879B3"/>
    <w:rPr>
      <w:i/>
      <w:iCs/>
      <w:color w:val="404040" w:themeColor="text1" w:themeTint="BF"/>
    </w:rPr>
  </w:style>
  <w:style w:type="paragraph" w:styleId="ListParagraph">
    <w:name w:val="List Paragraph"/>
    <w:basedOn w:val="Normal"/>
    <w:uiPriority w:val="34"/>
    <w:qFormat/>
    <w:rsid w:val="009879B3"/>
    <w:pPr>
      <w:ind w:left="720"/>
      <w:contextualSpacing/>
    </w:pPr>
  </w:style>
  <w:style w:type="character" w:styleId="IntenseEmphasis">
    <w:name w:val="Intense Emphasis"/>
    <w:basedOn w:val="DefaultParagraphFont"/>
    <w:uiPriority w:val="21"/>
    <w:qFormat/>
    <w:rsid w:val="009879B3"/>
    <w:rPr>
      <w:i/>
      <w:iCs/>
      <w:color w:val="0F4761" w:themeColor="accent1" w:themeShade="BF"/>
    </w:rPr>
  </w:style>
  <w:style w:type="paragraph" w:styleId="IntenseQuote">
    <w:name w:val="Intense Quote"/>
    <w:basedOn w:val="Normal"/>
    <w:next w:val="Normal"/>
    <w:link w:val="IntenseQuoteChar"/>
    <w:uiPriority w:val="30"/>
    <w:qFormat/>
    <w:rsid w:val="009879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9B3"/>
    <w:rPr>
      <w:i/>
      <w:iCs/>
      <w:color w:val="0F4761" w:themeColor="accent1" w:themeShade="BF"/>
    </w:rPr>
  </w:style>
  <w:style w:type="character" w:styleId="IntenseReference">
    <w:name w:val="Intense Reference"/>
    <w:basedOn w:val="DefaultParagraphFont"/>
    <w:uiPriority w:val="32"/>
    <w:qFormat/>
    <w:rsid w:val="009879B3"/>
    <w:rPr>
      <w:b/>
      <w:bCs/>
      <w:smallCaps/>
      <w:color w:val="0F4761" w:themeColor="accent1" w:themeShade="BF"/>
      <w:spacing w:val="5"/>
    </w:rPr>
  </w:style>
  <w:style w:type="paragraph" w:styleId="Header">
    <w:name w:val="header"/>
    <w:basedOn w:val="Normal"/>
    <w:link w:val="HeaderChar"/>
    <w:uiPriority w:val="99"/>
    <w:unhideWhenUsed/>
    <w:rsid w:val="00825F2C"/>
    <w:pPr>
      <w:tabs>
        <w:tab w:val="center" w:pos="4419"/>
        <w:tab w:val="right" w:pos="8838"/>
      </w:tabs>
      <w:spacing w:after="0" w:line="240" w:lineRule="auto"/>
    </w:pPr>
  </w:style>
  <w:style w:type="character" w:customStyle="1" w:styleId="HeaderChar">
    <w:name w:val="Header Char"/>
    <w:basedOn w:val="DefaultParagraphFont"/>
    <w:link w:val="Header"/>
    <w:uiPriority w:val="99"/>
    <w:rsid w:val="00825F2C"/>
  </w:style>
  <w:style w:type="paragraph" w:styleId="Footer">
    <w:name w:val="footer"/>
    <w:basedOn w:val="Normal"/>
    <w:link w:val="FooterChar"/>
    <w:uiPriority w:val="99"/>
    <w:unhideWhenUsed/>
    <w:rsid w:val="00825F2C"/>
    <w:pPr>
      <w:tabs>
        <w:tab w:val="center" w:pos="4419"/>
        <w:tab w:val="right" w:pos="8838"/>
      </w:tabs>
      <w:spacing w:after="0" w:line="240" w:lineRule="auto"/>
    </w:pPr>
  </w:style>
  <w:style w:type="character" w:customStyle="1" w:styleId="FooterChar">
    <w:name w:val="Footer Char"/>
    <w:basedOn w:val="DefaultParagraphFont"/>
    <w:link w:val="Footer"/>
    <w:uiPriority w:val="99"/>
    <w:rsid w:val="00825F2C"/>
  </w:style>
  <w:style w:type="character" w:styleId="CommentReference">
    <w:name w:val="annotation reference"/>
    <w:basedOn w:val="DefaultParagraphFont"/>
    <w:uiPriority w:val="99"/>
    <w:semiHidden/>
    <w:unhideWhenUsed/>
    <w:rsid w:val="00446D18"/>
    <w:rPr>
      <w:sz w:val="16"/>
      <w:szCs w:val="16"/>
    </w:rPr>
  </w:style>
  <w:style w:type="paragraph" w:styleId="CommentText">
    <w:name w:val="annotation text"/>
    <w:basedOn w:val="Normal"/>
    <w:link w:val="CommentTextChar"/>
    <w:uiPriority w:val="99"/>
    <w:unhideWhenUsed/>
    <w:rsid w:val="00446D18"/>
    <w:pPr>
      <w:spacing w:line="240" w:lineRule="auto"/>
    </w:pPr>
    <w:rPr>
      <w:sz w:val="20"/>
      <w:szCs w:val="25"/>
    </w:rPr>
  </w:style>
  <w:style w:type="character" w:customStyle="1" w:styleId="CommentTextChar">
    <w:name w:val="Comment Text Char"/>
    <w:basedOn w:val="DefaultParagraphFont"/>
    <w:link w:val="CommentText"/>
    <w:uiPriority w:val="99"/>
    <w:rsid w:val="00446D18"/>
    <w:rPr>
      <w:sz w:val="20"/>
      <w:szCs w:val="25"/>
    </w:rPr>
  </w:style>
  <w:style w:type="paragraph" w:styleId="CommentSubject">
    <w:name w:val="annotation subject"/>
    <w:basedOn w:val="CommentText"/>
    <w:next w:val="CommentText"/>
    <w:link w:val="CommentSubjectChar"/>
    <w:uiPriority w:val="99"/>
    <w:semiHidden/>
    <w:unhideWhenUsed/>
    <w:rsid w:val="00446D18"/>
    <w:rPr>
      <w:b/>
      <w:bCs/>
    </w:rPr>
  </w:style>
  <w:style w:type="character" w:customStyle="1" w:styleId="CommentSubjectChar">
    <w:name w:val="Comment Subject Char"/>
    <w:basedOn w:val="CommentTextChar"/>
    <w:link w:val="CommentSubject"/>
    <w:uiPriority w:val="99"/>
    <w:semiHidden/>
    <w:rsid w:val="00446D18"/>
    <w:rPr>
      <w:b/>
      <w:bCs/>
      <w:sz w:val="20"/>
      <w:szCs w:val="25"/>
    </w:rPr>
  </w:style>
  <w:style w:type="table" w:styleId="TableGrid">
    <w:name w:val="Table Grid"/>
    <w:basedOn w:val="TableNormal"/>
    <w:uiPriority w:val="39"/>
    <w:rsid w:val="007F19EA"/>
    <w:pPr>
      <w:spacing w:after="0" w:line="240" w:lineRule="auto"/>
    </w:pPr>
    <w:rPr>
      <w:rFonts w:eastAsiaTheme="minorHAnsi"/>
      <w:sz w:val="22"/>
      <w:szCs w:val="22"/>
      <w:lang w:val="id-ID"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C675A"/>
    <w:pPr>
      <w:spacing w:after="0" w:line="240" w:lineRule="auto"/>
      <w:jc w:val="both"/>
    </w:pPr>
    <w:rPr>
      <w:rFonts w:ascii="Helvetica" w:eastAsia="Helvetica Neue" w:hAnsi="Helvetica" w:cs="Helvetica"/>
      <w:noProof/>
      <w:kern w:val="0"/>
      <w:sz w:val="22"/>
      <w:szCs w:val="22"/>
      <w:lang w:eastAsia="en-US" w:bidi="ar-SA"/>
      <w14:ligatures w14:val="none"/>
    </w:rPr>
  </w:style>
  <w:style w:type="character" w:customStyle="1" w:styleId="EndNoteBibliographyChar">
    <w:name w:val="EndNote Bibliography Char"/>
    <w:basedOn w:val="DefaultParagraphFont"/>
    <w:link w:val="EndNoteBibliography"/>
    <w:rsid w:val="00CC675A"/>
    <w:rPr>
      <w:rFonts w:ascii="Helvetica" w:eastAsia="Helvetica Neue" w:hAnsi="Helvetica" w:cs="Helvetica"/>
      <w:noProof/>
      <w:kern w:val="0"/>
      <w:sz w:val="22"/>
      <w:szCs w:val="22"/>
      <w:lang w:eastAsia="en-US" w:bidi="ar-SA"/>
      <w14:ligatures w14:val="none"/>
    </w:rPr>
  </w:style>
  <w:style w:type="paragraph" w:styleId="NormalWeb">
    <w:name w:val="Normal (Web)"/>
    <w:basedOn w:val="Normal"/>
    <w:uiPriority w:val="99"/>
    <w:semiHidden/>
    <w:unhideWhenUsed/>
    <w:rsid w:val="004F6473"/>
    <w:rPr>
      <w:rFonts w:ascii="Times New Roman" w:hAnsi="Times New Roman" w:cs="Angsan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418</TotalTime>
  <Pages>9</Pages>
  <Words>3154</Words>
  <Characters>17981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RATANASAK MANUSSADA</dc:creator>
  <cp:keywords/>
  <dc:description/>
  <cp:lastModifiedBy>Fadjar Mulya</cp:lastModifiedBy>
  <cp:revision>54</cp:revision>
  <dcterms:created xsi:type="dcterms:W3CDTF">2026-08-18T07:18:00Z</dcterms:created>
  <dcterms:modified xsi:type="dcterms:W3CDTF">2026-08-24T14:48:00Z</dcterms:modified>
</cp:coreProperties>
</file>