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2BE403" w14:textId="77777777" w:rsidR="00D312E1" w:rsidRDefault="00D312E1" w:rsidP="00D312E1">
      <w:pPr>
        <w:pStyle w:val="NormalWeb"/>
        <w:shd w:val="clear" w:color="auto" w:fill="FFFFFF"/>
        <w:spacing w:before="0" w:beforeAutospacing="0" w:after="240" w:afterAutospacing="0" w:line="343" w:lineRule="atLeast"/>
        <w:rPr>
          <w:rFonts w:ascii="Arial" w:hAnsi="Arial" w:cs="Arial"/>
          <w:color w:val="555555"/>
          <w:sz w:val="20"/>
          <w:szCs w:val="20"/>
        </w:rPr>
      </w:pPr>
      <w:r>
        <w:rPr>
          <w:rFonts w:ascii="Arial" w:hAnsi="Arial" w:cs="Arial"/>
          <w:color w:val="555555"/>
          <w:sz w:val="20"/>
          <w:szCs w:val="20"/>
        </w:rPr>
        <w:t>Reviewer #1</w:t>
      </w:r>
      <w:r>
        <w:rPr>
          <w:rFonts w:ascii="Arial" w:hAnsi="Arial" w:cs="Arial"/>
          <w:color w:val="555555"/>
          <w:sz w:val="20"/>
          <w:szCs w:val="20"/>
        </w:rPr>
        <w:br/>
        <w:t>-General Evaluation</w:t>
      </w:r>
      <w:r>
        <w:rPr>
          <w:rFonts w:ascii="Arial" w:hAnsi="Arial" w:cs="Arial"/>
          <w:color w:val="555555"/>
          <w:sz w:val="20"/>
          <w:szCs w:val="20"/>
        </w:rPr>
        <w:br/>
        <w:t>Strengths:</w:t>
      </w:r>
      <w:r>
        <w:rPr>
          <w:rFonts w:ascii="Arial" w:hAnsi="Arial" w:cs="Arial"/>
          <w:color w:val="555555"/>
          <w:sz w:val="20"/>
          <w:szCs w:val="20"/>
        </w:rPr>
        <w:br/>
        <w:t>•The manuscript addresses an engaging topic aligned with green chemistry principles, offering a viable waste-</w:t>
      </w:r>
      <w:proofErr w:type="spellStart"/>
      <w:r>
        <w:rPr>
          <w:rFonts w:ascii="Arial" w:hAnsi="Arial" w:cs="Arial"/>
          <w:color w:val="555555"/>
          <w:sz w:val="20"/>
          <w:szCs w:val="20"/>
        </w:rPr>
        <w:t>valorization</w:t>
      </w:r>
      <w:proofErr w:type="spellEnd"/>
      <w:r>
        <w:rPr>
          <w:rFonts w:ascii="Arial" w:hAnsi="Arial" w:cs="Arial"/>
          <w:color w:val="555555"/>
          <w:sz w:val="20"/>
          <w:szCs w:val="20"/>
        </w:rPr>
        <w:t xml:space="preserve"> route using local biomass (Coffea arabica pulp).</w:t>
      </w:r>
      <w:r>
        <w:rPr>
          <w:rFonts w:ascii="Arial" w:hAnsi="Arial" w:cs="Arial"/>
          <w:color w:val="555555"/>
          <w:sz w:val="20"/>
          <w:szCs w:val="20"/>
        </w:rPr>
        <w:br/>
        <w:t>•The experimental methodology and the use of the gel polymer electrolyte (GPE) framework are consistent with the authors' previous body of work.</w:t>
      </w:r>
      <w:r>
        <w:rPr>
          <w:rFonts w:ascii="Arial" w:hAnsi="Arial" w:cs="Arial"/>
          <w:color w:val="555555"/>
          <w:sz w:val="20"/>
          <w:szCs w:val="20"/>
        </w:rPr>
        <w:br/>
        <w:t>•The writing is generally fluent, grammar is sound, and the schematic illustrations effectively support the readers' comprehension.</w:t>
      </w:r>
      <w:r>
        <w:rPr>
          <w:rFonts w:ascii="Arial" w:hAnsi="Arial" w:cs="Arial"/>
          <w:color w:val="555555"/>
          <w:sz w:val="20"/>
          <w:szCs w:val="20"/>
        </w:rPr>
        <w:br/>
        <w:t>Major Areas for Improvement:</w:t>
      </w:r>
      <w:r>
        <w:rPr>
          <w:rFonts w:ascii="Arial" w:hAnsi="Arial" w:cs="Arial"/>
          <w:color w:val="555555"/>
          <w:sz w:val="20"/>
          <w:szCs w:val="20"/>
        </w:rPr>
        <w:br/>
        <w:t xml:space="preserve">•Precursor Comparative Analysis: The discussion needs to delve deeper into why spent coffee grounds (SCG) yielded a higher specific capacitance (97.5 F/g) compared to coffee pulp (51.5 F/g), despite coffee pulp theoretically possessing richer surface functionality. Is this discrepancy related to specific functional groups, lignin/cellulose/hemicellulose ratios, or the carbonization </w:t>
      </w:r>
      <w:proofErr w:type="spellStart"/>
      <w:r>
        <w:rPr>
          <w:rFonts w:ascii="Arial" w:hAnsi="Arial" w:cs="Arial"/>
          <w:color w:val="555555"/>
          <w:sz w:val="20"/>
          <w:szCs w:val="20"/>
        </w:rPr>
        <w:t>behavior</w:t>
      </w:r>
      <w:proofErr w:type="spellEnd"/>
      <w:r>
        <w:rPr>
          <w:rFonts w:ascii="Arial" w:hAnsi="Arial" w:cs="Arial"/>
          <w:color w:val="555555"/>
          <w:sz w:val="20"/>
          <w:szCs w:val="20"/>
        </w:rPr>
        <w:t>?</w:t>
      </w:r>
      <w:r>
        <w:rPr>
          <w:rFonts w:ascii="Arial" w:hAnsi="Arial" w:cs="Arial"/>
          <w:color w:val="555555"/>
          <w:sz w:val="20"/>
          <w:szCs w:val="20"/>
        </w:rPr>
        <w:br/>
        <w:t>•Advanced Characterization: As honestly noted in the manuscript regarding the absence of BET analysis, the lack of specific surface area and pore size distribution data weakens the morphological arguments from a quantitative standpoint.</w:t>
      </w:r>
    </w:p>
    <w:p w14:paraId="1D2BB3F4" w14:textId="7F602900" w:rsidR="00713400" w:rsidRPr="00E314E2" w:rsidRDefault="00713400" w:rsidP="00D312E1">
      <w:pPr>
        <w:pStyle w:val="NormalWeb"/>
        <w:shd w:val="clear" w:color="auto" w:fill="FFFFFF"/>
        <w:spacing w:before="0" w:beforeAutospacing="0" w:after="240" w:afterAutospacing="0" w:line="343" w:lineRule="atLeast"/>
        <w:rPr>
          <w:rFonts w:ascii="Arial" w:hAnsi="Arial" w:cs="Arial"/>
          <w:color w:val="0070C0"/>
          <w:sz w:val="20"/>
          <w:szCs w:val="20"/>
        </w:rPr>
      </w:pPr>
      <w:r w:rsidRPr="00E314E2">
        <w:rPr>
          <w:rFonts w:ascii="Arial" w:hAnsi="Arial" w:cs="Arial"/>
          <w:color w:val="0070C0"/>
          <w:sz w:val="20"/>
          <w:szCs w:val="20"/>
        </w:rPr>
        <w:t xml:space="preserve">Response: </w:t>
      </w:r>
      <w:r w:rsidRPr="00E314E2">
        <w:rPr>
          <w:rFonts w:ascii="Arial" w:hAnsi="Arial" w:cs="Arial"/>
          <w:color w:val="0070C0"/>
          <w:sz w:val="20"/>
          <w:szCs w:val="20"/>
        </w:rPr>
        <w:t xml:space="preserve">An explanatory statement </w:t>
      </w:r>
      <w:r w:rsidRPr="00E314E2">
        <w:rPr>
          <w:rFonts w:ascii="Arial" w:hAnsi="Arial" w:cs="Arial"/>
          <w:color w:val="0070C0"/>
          <w:sz w:val="20"/>
          <w:szCs w:val="20"/>
        </w:rPr>
        <w:t xml:space="preserve">has been added in section </w:t>
      </w:r>
      <w:r w:rsidRPr="00E314E2">
        <w:rPr>
          <w:rFonts w:ascii="Arial" w:hAnsi="Arial" w:cs="Arial"/>
          <w:color w:val="0070C0"/>
          <w:sz w:val="20"/>
          <w:szCs w:val="20"/>
        </w:rPr>
        <w:t>3</w:t>
      </w:r>
      <w:r w:rsidRPr="00E314E2">
        <w:rPr>
          <w:rFonts w:ascii="Arial" w:hAnsi="Arial" w:cs="Arial"/>
          <w:color w:val="0070C0"/>
          <w:sz w:val="20"/>
          <w:szCs w:val="20"/>
        </w:rPr>
        <w:t xml:space="preserve"> as highlighted in yellow on page </w:t>
      </w:r>
      <w:r w:rsidRPr="00E314E2">
        <w:rPr>
          <w:rFonts w:ascii="Arial" w:hAnsi="Arial" w:cs="Arial"/>
          <w:color w:val="0070C0"/>
          <w:sz w:val="20"/>
          <w:szCs w:val="20"/>
        </w:rPr>
        <w:t>5</w:t>
      </w:r>
      <w:r w:rsidRPr="00E314E2">
        <w:rPr>
          <w:rFonts w:ascii="Arial" w:hAnsi="Arial" w:cs="Arial"/>
          <w:color w:val="0070C0"/>
          <w:sz w:val="20"/>
          <w:szCs w:val="20"/>
        </w:rPr>
        <w:t>.</w:t>
      </w:r>
    </w:p>
    <w:p w14:paraId="60D7208D" w14:textId="77777777" w:rsidR="00D312E1" w:rsidRDefault="00D312E1" w:rsidP="00D312E1">
      <w:pPr>
        <w:pStyle w:val="NormalWeb"/>
        <w:shd w:val="clear" w:color="auto" w:fill="FFFFFF"/>
        <w:spacing w:before="0" w:beforeAutospacing="0" w:after="240" w:afterAutospacing="0" w:line="343" w:lineRule="atLeast"/>
        <w:rPr>
          <w:rFonts w:ascii="Arial" w:hAnsi="Arial" w:cs="Arial"/>
          <w:color w:val="555555"/>
          <w:sz w:val="20"/>
          <w:szCs w:val="20"/>
        </w:rPr>
      </w:pPr>
      <w:r>
        <w:rPr>
          <w:rFonts w:ascii="Arial" w:hAnsi="Arial" w:cs="Arial"/>
          <w:color w:val="555555"/>
          <w:sz w:val="20"/>
          <w:szCs w:val="20"/>
        </w:rPr>
        <w:t>-Section-by-Section Comments</w:t>
      </w:r>
      <w:r>
        <w:rPr>
          <w:rFonts w:ascii="Arial" w:hAnsi="Arial" w:cs="Arial"/>
          <w:color w:val="555555"/>
          <w:sz w:val="20"/>
          <w:szCs w:val="20"/>
        </w:rPr>
        <w:br/>
        <w:t>A. Introduction</w:t>
      </w:r>
      <w:r>
        <w:rPr>
          <w:rFonts w:ascii="Arial" w:hAnsi="Arial" w:cs="Arial"/>
          <w:color w:val="555555"/>
          <w:sz w:val="20"/>
          <w:szCs w:val="20"/>
        </w:rPr>
        <w:br/>
        <w:t>The rationale for selecting coffee pulp should be sharpened. Briefly outline the chemical compositional differences between coffee pulp and spent coffee grounds that motivated this comparative study.</w:t>
      </w:r>
    </w:p>
    <w:p w14:paraId="05CC971B" w14:textId="248DB6D9" w:rsidR="009E09A2" w:rsidRPr="00E314E2" w:rsidRDefault="009E09A2" w:rsidP="00D312E1">
      <w:pPr>
        <w:pStyle w:val="NormalWeb"/>
        <w:shd w:val="clear" w:color="auto" w:fill="FFFFFF"/>
        <w:spacing w:before="0" w:beforeAutospacing="0" w:after="240" w:afterAutospacing="0" w:line="343" w:lineRule="atLeast"/>
        <w:rPr>
          <w:rFonts w:ascii="Arial" w:hAnsi="Arial" w:cs="Arial"/>
          <w:color w:val="0070C0"/>
          <w:sz w:val="20"/>
          <w:szCs w:val="20"/>
        </w:rPr>
      </w:pPr>
      <w:r w:rsidRPr="00E314E2">
        <w:rPr>
          <w:rFonts w:ascii="Arial" w:hAnsi="Arial" w:cs="Arial"/>
          <w:color w:val="0070C0"/>
          <w:sz w:val="20"/>
          <w:szCs w:val="20"/>
        </w:rPr>
        <w:t>Response: This has been added in section 1 as highlighted in yellow on page 2.</w:t>
      </w:r>
    </w:p>
    <w:p w14:paraId="503186D0" w14:textId="77777777" w:rsidR="009E09A2" w:rsidRDefault="00D312E1" w:rsidP="00D312E1">
      <w:pPr>
        <w:pStyle w:val="NormalWeb"/>
        <w:shd w:val="clear" w:color="auto" w:fill="FFFFFF"/>
        <w:spacing w:before="0" w:beforeAutospacing="0" w:after="240" w:afterAutospacing="0" w:line="343" w:lineRule="atLeast"/>
        <w:rPr>
          <w:rFonts w:ascii="Arial" w:hAnsi="Arial" w:cs="Arial"/>
          <w:color w:val="555555"/>
          <w:sz w:val="20"/>
          <w:szCs w:val="20"/>
        </w:rPr>
      </w:pPr>
      <w:r>
        <w:rPr>
          <w:rFonts w:ascii="Arial" w:hAnsi="Arial" w:cs="Arial"/>
          <w:color w:val="555555"/>
          <w:sz w:val="20"/>
          <w:szCs w:val="20"/>
        </w:rPr>
        <w:t>B. Materials and Methodology</w:t>
      </w:r>
      <w:r>
        <w:rPr>
          <w:rFonts w:ascii="Arial" w:hAnsi="Arial" w:cs="Arial"/>
          <w:color w:val="555555"/>
          <w:sz w:val="20"/>
          <w:szCs w:val="20"/>
        </w:rPr>
        <w:br/>
        <w:t>•Hydrothermal Parameters: Ensure that the selection of the reaction time (4 hours) and temperature (200 °C) is backed by kinetic reasoning or optimization references.</w:t>
      </w:r>
    </w:p>
    <w:p w14:paraId="170DCCCE" w14:textId="438E7AB9" w:rsidR="009E09A2" w:rsidRPr="00E314E2" w:rsidRDefault="009E09A2" w:rsidP="009E09A2">
      <w:pPr>
        <w:pStyle w:val="NormalWeb"/>
        <w:shd w:val="clear" w:color="auto" w:fill="FFFFFF"/>
        <w:spacing w:before="0" w:beforeAutospacing="0" w:after="240" w:afterAutospacing="0" w:line="343" w:lineRule="atLeast"/>
        <w:rPr>
          <w:rFonts w:ascii="Arial" w:hAnsi="Arial" w:cs="Arial"/>
          <w:color w:val="0070C0"/>
          <w:sz w:val="20"/>
          <w:szCs w:val="20"/>
        </w:rPr>
      </w:pPr>
      <w:r w:rsidRPr="00E314E2">
        <w:rPr>
          <w:rFonts w:ascii="Arial" w:hAnsi="Arial" w:cs="Arial"/>
          <w:color w:val="0070C0"/>
          <w:sz w:val="20"/>
          <w:szCs w:val="20"/>
        </w:rPr>
        <w:t xml:space="preserve">Response: </w:t>
      </w:r>
      <w:r w:rsidRPr="00E314E2">
        <w:rPr>
          <w:rFonts w:ascii="Arial" w:hAnsi="Arial" w:cs="Arial"/>
          <w:color w:val="0070C0"/>
          <w:sz w:val="20"/>
          <w:szCs w:val="20"/>
        </w:rPr>
        <w:t>A reference has been added to support</w:t>
      </w:r>
      <w:r w:rsidRPr="00E314E2">
        <w:rPr>
          <w:rFonts w:ascii="Arial" w:hAnsi="Arial" w:cs="Arial"/>
          <w:color w:val="0070C0"/>
          <w:sz w:val="20"/>
          <w:szCs w:val="20"/>
        </w:rPr>
        <w:t xml:space="preserve"> </w:t>
      </w:r>
      <w:r w:rsidRPr="00E314E2">
        <w:rPr>
          <w:rFonts w:ascii="Arial" w:hAnsi="Arial" w:cs="Arial"/>
          <w:color w:val="0070C0"/>
          <w:sz w:val="20"/>
          <w:szCs w:val="20"/>
        </w:rPr>
        <w:t>the optimized process</w:t>
      </w:r>
      <w:r w:rsidRPr="00E314E2">
        <w:rPr>
          <w:rFonts w:ascii="Arial" w:hAnsi="Arial" w:cs="Arial"/>
          <w:color w:val="0070C0"/>
          <w:sz w:val="20"/>
          <w:szCs w:val="20"/>
        </w:rPr>
        <w:t xml:space="preserve"> as highlighted in yellow on page 2.</w:t>
      </w:r>
    </w:p>
    <w:p w14:paraId="3808BCC8" w14:textId="50AB2183" w:rsidR="00D312E1" w:rsidRDefault="00D312E1" w:rsidP="00D312E1">
      <w:pPr>
        <w:pStyle w:val="NormalWeb"/>
        <w:shd w:val="clear" w:color="auto" w:fill="FFFFFF"/>
        <w:spacing w:before="0" w:beforeAutospacing="0" w:after="240" w:afterAutospacing="0" w:line="343" w:lineRule="atLeast"/>
        <w:rPr>
          <w:rFonts w:ascii="Arial" w:hAnsi="Arial" w:cs="Arial"/>
          <w:color w:val="555555"/>
          <w:sz w:val="20"/>
          <w:szCs w:val="20"/>
        </w:rPr>
      </w:pPr>
      <w:r>
        <w:rPr>
          <w:rFonts w:ascii="Arial" w:hAnsi="Arial" w:cs="Arial"/>
          <w:color w:val="555555"/>
          <w:sz w:val="20"/>
          <w:szCs w:val="20"/>
        </w:rPr>
        <w:br/>
        <w:t xml:space="preserve">•Active Mass: Ensure consistency in the description of active electrode mass calculations in Equations (1) and (2), particularly concerning the mass contribution of the CQD additive (5 </w:t>
      </w:r>
      <w:proofErr w:type="spellStart"/>
      <w:r>
        <w:rPr>
          <w:rFonts w:ascii="Arial" w:hAnsi="Arial" w:cs="Arial"/>
          <w:color w:val="555555"/>
          <w:sz w:val="20"/>
          <w:szCs w:val="20"/>
        </w:rPr>
        <w:t>wt</w:t>
      </w:r>
      <w:proofErr w:type="spellEnd"/>
      <w:r>
        <w:rPr>
          <w:rFonts w:ascii="Arial" w:hAnsi="Arial" w:cs="Arial"/>
          <w:color w:val="555555"/>
          <w:sz w:val="20"/>
          <w:szCs w:val="20"/>
        </w:rPr>
        <w:t>%) relative to the total active composite mass.</w:t>
      </w:r>
    </w:p>
    <w:p w14:paraId="0DBAA85A" w14:textId="060BACAB" w:rsidR="009E09A2" w:rsidRPr="00E314E2" w:rsidRDefault="009E09A2" w:rsidP="009E09A2">
      <w:pPr>
        <w:pStyle w:val="NormalWeb"/>
        <w:shd w:val="clear" w:color="auto" w:fill="FFFFFF"/>
        <w:spacing w:before="0" w:beforeAutospacing="0" w:after="240" w:afterAutospacing="0" w:line="343" w:lineRule="atLeast"/>
        <w:rPr>
          <w:rFonts w:ascii="Arial" w:hAnsi="Arial" w:cs="Arial"/>
          <w:color w:val="0070C0"/>
          <w:sz w:val="20"/>
          <w:szCs w:val="20"/>
        </w:rPr>
      </w:pPr>
      <w:r w:rsidRPr="00E314E2">
        <w:rPr>
          <w:rFonts w:ascii="Arial" w:hAnsi="Arial" w:cs="Arial"/>
          <w:color w:val="0070C0"/>
          <w:sz w:val="20"/>
          <w:szCs w:val="20"/>
        </w:rPr>
        <w:t xml:space="preserve">Response: </w:t>
      </w:r>
      <w:r w:rsidRPr="00E314E2">
        <w:rPr>
          <w:rFonts w:ascii="Arial" w:hAnsi="Arial" w:cs="Arial"/>
          <w:color w:val="0070C0"/>
          <w:sz w:val="20"/>
          <w:szCs w:val="20"/>
        </w:rPr>
        <w:t>The mass of the active material has been mentioned in Equations 1 and 2.</w:t>
      </w:r>
    </w:p>
    <w:p w14:paraId="19027120" w14:textId="77777777" w:rsidR="009E09A2" w:rsidRDefault="009E09A2" w:rsidP="00D312E1">
      <w:pPr>
        <w:pStyle w:val="NormalWeb"/>
        <w:shd w:val="clear" w:color="auto" w:fill="FFFFFF"/>
        <w:spacing w:before="0" w:beforeAutospacing="0" w:after="240" w:afterAutospacing="0" w:line="343" w:lineRule="atLeast"/>
        <w:rPr>
          <w:rFonts w:ascii="Arial" w:hAnsi="Arial" w:cs="Arial"/>
          <w:color w:val="555555"/>
          <w:sz w:val="20"/>
          <w:szCs w:val="20"/>
        </w:rPr>
      </w:pPr>
    </w:p>
    <w:p w14:paraId="03F1359A" w14:textId="77777777" w:rsidR="009E09A2" w:rsidRDefault="00D312E1" w:rsidP="00D312E1">
      <w:pPr>
        <w:pStyle w:val="NormalWeb"/>
        <w:shd w:val="clear" w:color="auto" w:fill="FFFFFF"/>
        <w:spacing w:before="0" w:beforeAutospacing="0" w:after="240" w:afterAutospacing="0" w:line="343" w:lineRule="atLeast"/>
        <w:rPr>
          <w:rFonts w:ascii="Arial" w:hAnsi="Arial" w:cs="Arial"/>
          <w:color w:val="555555"/>
          <w:sz w:val="20"/>
          <w:szCs w:val="20"/>
        </w:rPr>
      </w:pPr>
      <w:r>
        <w:rPr>
          <w:rFonts w:ascii="Arial" w:hAnsi="Arial" w:cs="Arial"/>
          <w:color w:val="555555"/>
          <w:sz w:val="20"/>
          <w:szCs w:val="20"/>
        </w:rPr>
        <w:lastRenderedPageBreak/>
        <w:t>C. Results and Discussions</w:t>
      </w:r>
      <w:r>
        <w:rPr>
          <w:rFonts w:ascii="Arial" w:hAnsi="Arial" w:cs="Arial"/>
          <w:color w:val="555555"/>
          <w:sz w:val="20"/>
          <w:szCs w:val="20"/>
        </w:rPr>
        <w:br/>
        <w:t>•EDX Analysis: The elemental composition shows a remarkably high oxygen content (44.4%), which is highly beneficial for wettability and potential pseudocapacitive contributions. However, it would strengthen the argument to discuss whether specific functional groups (e.g., -COOH, -OH) were identified to support this claim.</w:t>
      </w:r>
    </w:p>
    <w:p w14:paraId="57A20A38" w14:textId="4113194E" w:rsidR="009E09A2" w:rsidRPr="00E314E2" w:rsidRDefault="009E09A2" w:rsidP="009E09A2">
      <w:pPr>
        <w:pStyle w:val="NormalWeb"/>
        <w:shd w:val="clear" w:color="auto" w:fill="FFFFFF"/>
        <w:spacing w:before="0" w:beforeAutospacing="0" w:after="240" w:afterAutospacing="0" w:line="343" w:lineRule="atLeast"/>
        <w:rPr>
          <w:rFonts w:ascii="Arial" w:hAnsi="Arial" w:cs="Arial"/>
          <w:color w:val="0070C0"/>
          <w:sz w:val="20"/>
          <w:szCs w:val="20"/>
        </w:rPr>
      </w:pPr>
      <w:r w:rsidRPr="00E314E2">
        <w:rPr>
          <w:rFonts w:ascii="Arial" w:hAnsi="Arial" w:cs="Arial"/>
          <w:color w:val="0070C0"/>
          <w:sz w:val="20"/>
          <w:szCs w:val="20"/>
        </w:rPr>
        <w:t xml:space="preserve">Response: </w:t>
      </w:r>
      <w:r w:rsidRPr="00E314E2">
        <w:rPr>
          <w:rFonts w:ascii="Arial" w:hAnsi="Arial" w:cs="Arial"/>
          <w:color w:val="0070C0"/>
          <w:sz w:val="20"/>
          <w:szCs w:val="20"/>
        </w:rPr>
        <w:t>The analysis of functional groups is not presented in this proceedings due to word count limitation. Furthermore, the result is only supplementary, which will be presented in future full length paper.</w:t>
      </w:r>
    </w:p>
    <w:p w14:paraId="423F0C4A" w14:textId="560E76D2" w:rsidR="00D312E1" w:rsidRDefault="00D312E1" w:rsidP="00D312E1">
      <w:pPr>
        <w:pStyle w:val="NormalWeb"/>
        <w:shd w:val="clear" w:color="auto" w:fill="FFFFFF"/>
        <w:spacing w:before="0" w:beforeAutospacing="0" w:after="240" w:afterAutospacing="0" w:line="343" w:lineRule="atLeast"/>
        <w:rPr>
          <w:rFonts w:ascii="Arial" w:hAnsi="Arial" w:cs="Arial"/>
          <w:color w:val="555555"/>
          <w:sz w:val="20"/>
          <w:szCs w:val="20"/>
        </w:rPr>
      </w:pPr>
      <w:r>
        <w:rPr>
          <w:rFonts w:ascii="Arial" w:hAnsi="Arial" w:cs="Arial"/>
          <w:color w:val="555555"/>
          <w:sz w:val="20"/>
          <w:szCs w:val="20"/>
        </w:rPr>
        <w:br/>
        <w:t>•Performance Comparison: Address the apparent divergence between the CV-derived specific capacitance (133 F/g at 5 mV/s) and the GCD-derived value (51.5 F/g at 0.5 A/g). While differences between CV and GCD values are common due to testing protocols, a brief explanatory note will help clear potential confusion for readers.</w:t>
      </w:r>
    </w:p>
    <w:p w14:paraId="29865F93" w14:textId="3F755B91" w:rsidR="009E09A2" w:rsidRPr="00E314E2" w:rsidRDefault="009E09A2" w:rsidP="009E09A2">
      <w:pPr>
        <w:pStyle w:val="NormalWeb"/>
        <w:shd w:val="clear" w:color="auto" w:fill="FFFFFF"/>
        <w:spacing w:before="0" w:beforeAutospacing="0" w:after="240" w:afterAutospacing="0" w:line="343" w:lineRule="atLeast"/>
        <w:rPr>
          <w:rFonts w:ascii="Arial" w:hAnsi="Arial" w:cs="Arial"/>
          <w:color w:val="0070C0"/>
          <w:sz w:val="20"/>
          <w:szCs w:val="20"/>
        </w:rPr>
      </w:pPr>
      <w:r w:rsidRPr="00E314E2">
        <w:rPr>
          <w:rFonts w:ascii="Arial" w:hAnsi="Arial" w:cs="Arial"/>
          <w:color w:val="0070C0"/>
          <w:sz w:val="20"/>
          <w:szCs w:val="20"/>
        </w:rPr>
        <w:t xml:space="preserve">Response: </w:t>
      </w:r>
      <w:r w:rsidRPr="00E314E2">
        <w:rPr>
          <w:rFonts w:ascii="Arial" w:hAnsi="Arial" w:cs="Arial"/>
          <w:color w:val="0070C0"/>
          <w:sz w:val="20"/>
          <w:szCs w:val="20"/>
        </w:rPr>
        <w:t>A brief explanation on this matter</w:t>
      </w:r>
      <w:r w:rsidRPr="00E314E2">
        <w:rPr>
          <w:rFonts w:ascii="Arial" w:hAnsi="Arial" w:cs="Arial"/>
          <w:color w:val="0070C0"/>
          <w:sz w:val="20"/>
          <w:szCs w:val="20"/>
        </w:rPr>
        <w:t xml:space="preserve"> has been added in section </w:t>
      </w:r>
      <w:r w:rsidRPr="00E314E2">
        <w:rPr>
          <w:rFonts w:ascii="Arial" w:hAnsi="Arial" w:cs="Arial"/>
          <w:color w:val="0070C0"/>
          <w:sz w:val="20"/>
          <w:szCs w:val="20"/>
        </w:rPr>
        <w:t>3</w:t>
      </w:r>
      <w:r w:rsidRPr="00E314E2">
        <w:rPr>
          <w:rFonts w:ascii="Arial" w:hAnsi="Arial" w:cs="Arial"/>
          <w:color w:val="0070C0"/>
          <w:sz w:val="20"/>
          <w:szCs w:val="20"/>
        </w:rPr>
        <w:t xml:space="preserve"> as highlighted in yellow on page </w:t>
      </w:r>
      <w:r w:rsidRPr="00E314E2">
        <w:rPr>
          <w:rFonts w:ascii="Arial" w:hAnsi="Arial" w:cs="Arial"/>
          <w:color w:val="0070C0"/>
          <w:sz w:val="20"/>
          <w:szCs w:val="20"/>
        </w:rPr>
        <w:t>5</w:t>
      </w:r>
      <w:r w:rsidRPr="00E314E2">
        <w:rPr>
          <w:rFonts w:ascii="Arial" w:hAnsi="Arial" w:cs="Arial"/>
          <w:color w:val="0070C0"/>
          <w:sz w:val="20"/>
          <w:szCs w:val="20"/>
        </w:rPr>
        <w:t>.</w:t>
      </w:r>
    </w:p>
    <w:p w14:paraId="7240583F" w14:textId="77777777" w:rsidR="009E09A2" w:rsidRDefault="009E09A2" w:rsidP="00D312E1">
      <w:pPr>
        <w:pStyle w:val="NormalWeb"/>
        <w:shd w:val="clear" w:color="auto" w:fill="FFFFFF"/>
        <w:spacing w:before="0" w:beforeAutospacing="0" w:after="240" w:afterAutospacing="0" w:line="343" w:lineRule="atLeast"/>
        <w:rPr>
          <w:rFonts w:ascii="Arial" w:hAnsi="Arial" w:cs="Arial"/>
          <w:color w:val="555555"/>
          <w:sz w:val="20"/>
          <w:szCs w:val="20"/>
        </w:rPr>
      </w:pPr>
    </w:p>
    <w:p w14:paraId="07C73F3D" w14:textId="77777777" w:rsidR="00D312E1" w:rsidRDefault="00D312E1" w:rsidP="00D312E1">
      <w:pPr>
        <w:pStyle w:val="NormalWeb"/>
        <w:shd w:val="clear" w:color="auto" w:fill="FFFFFF"/>
        <w:spacing w:before="0" w:beforeAutospacing="0" w:after="240" w:afterAutospacing="0" w:line="343" w:lineRule="atLeast"/>
        <w:rPr>
          <w:rFonts w:ascii="Arial" w:hAnsi="Arial" w:cs="Arial"/>
          <w:color w:val="555555"/>
          <w:sz w:val="20"/>
          <w:szCs w:val="20"/>
        </w:rPr>
      </w:pPr>
      <w:proofErr w:type="spellStart"/>
      <w:r>
        <w:rPr>
          <w:rFonts w:ascii="Arial" w:hAnsi="Arial" w:cs="Arial"/>
          <w:color w:val="555555"/>
          <w:sz w:val="20"/>
          <w:szCs w:val="20"/>
        </w:rPr>
        <w:t>D.Conclusion</w:t>
      </w:r>
      <w:proofErr w:type="spellEnd"/>
      <w:r>
        <w:rPr>
          <w:rFonts w:ascii="Arial" w:hAnsi="Arial" w:cs="Arial"/>
          <w:color w:val="555555"/>
          <w:sz w:val="20"/>
          <w:szCs w:val="20"/>
        </w:rPr>
        <w:br/>
        <w:t>The conclusion summarizes the main findings well. Recommendation: Add a brief take-home message suggesting which specific parameters should be optimized next to surpass the performance of spent coffee grounds.</w:t>
      </w:r>
    </w:p>
    <w:p w14:paraId="1490A250" w14:textId="42C8000A" w:rsidR="00713400" w:rsidRPr="00E314E2" w:rsidRDefault="00713400" w:rsidP="00713400">
      <w:pPr>
        <w:pStyle w:val="NormalWeb"/>
        <w:shd w:val="clear" w:color="auto" w:fill="FFFFFF"/>
        <w:spacing w:before="0" w:beforeAutospacing="0" w:after="240" w:afterAutospacing="0" w:line="343" w:lineRule="atLeast"/>
        <w:rPr>
          <w:rFonts w:ascii="Arial" w:hAnsi="Arial" w:cs="Arial"/>
          <w:color w:val="0070C0"/>
          <w:sz w:val="20"/>
          <w:szCs w:val="20"/>
        </w:rPr>
      </w:pPr>
      <w:r w:rsidRPr="00E314E2">
        <w:rPr>
          <w:rFonts w:ascii="Arial" w:hAnsi="Arial" w:cs="Arial"/>
          <w:color w:val="0070C0"/>
          <w:sz w:val="20"/>
          <w:szCs w:val="20"/>
        </w:rPr>
        <w:t>Response: Th</w:t>
      </w:r>
      <w:r w:rsidRPr="00E314E2">
        <w:rPr>
          <w:rFonts w:ascii="Arial" w:hAnsi="Arial" w:cs="Arial"/>
          <w:color w:val="0070C0"/>
          <w:sz w:val="20"/>
          <w:szCs w:val="20"/>
        </w:rPr>
        <w:t xml:space="preserve">e conclusion section </w:t>
      </w:r>
      <w:r w:rsidRPr="00E314E2">
        <w:rPr>
          <w:rFonts w:ascii="Arial" w:hAnsi="Arial" w:cs="Arial"/>
          <w:color w:val="0070C0"/>
          <w:sz w:val="20"/>
          <w:szCs w:val="20"/>
        </w:rPr>
        <w:t xml:space="preserve">has been </w:t>
      </w:r>
      <w:r w:rsidRPr="00E314E2">
        <w:rPr>
          <w:rFonts w:ascii="Arial" w:hAnsi="Arial" w:cs="Arial"/>
          <w:color w:val="0070C0"/>
          <w:sz w:val="20"/>
          <w:szCs w:val="20"/>
        </w:rPr>
        <w:t>updated</w:t>
      </w:r>
      <w:r w:rsidRPr="00E314E2">
        <w:rPr>
          <w:rFonts w:ascii="Arial" w:hAnsi="Arial" w:cs="Arial"/>
          <w:color w:val="0070C0"/>
          <w:sz w:val="20"/>
          <w:szCs w:val="20"/>
        </w:rPr>
        <w:t xml:space="preserve"> as highlighted in yellow on page </w:t>
      </w:r>
      <w:r w:rsidRPr="00E314E2">
        <w:rPr>
          <w:rFonts w:ascii="Arial" w:hAnsi="Arial" w:cs="Arial"/>
          <w:color w:val="0070C0"/>
          <w:sz w:val="20"/>
          <w:szCs w:val="20"/>
        </w:rPr>
        <w:t>7</w:t>
      </w:r>
      <w:r w:rsidRPr="00E314E2">
        <w:rPr>
          <w:rFonts w:ascii="Arial" w:hAnsi="Arial" w:cs="Arial"/>
          <w:color w:val="0070C0"/>
          <w:sz w:val="20"/>
          <w:szCs w:val="20"/>
        </w:rPr>
        <w:t>.</w:t>
      </w:r>
    </w:p>
    <w:p w14:paraId="0C89911C" w14:textId="77777777" w:rsidR="00713400" w:rsidRDefault="00713400" w:rsidP="00D312E1">
      <w:pPr>
        <w:pStyle w:val="NormalWeb"/>
        <w:shd w:val="clear" w:color="auto" w:fill="FFFFFF"/>
        <w:spacing w:before="0" w:beforeAutospacing="0" w:after="240" w:afterAutospacing="0" w:line="343" w:lineRule="atLeast"/>
        <w:rPr>
          <w:rFonts w:ascii="Arial" w:hAnsi="Arial" w:cs="Arial"/>
          <w:color w:val="555555"/>
          <w:sz w:val="20"/>
          <w:szCs w:val="20"/>
        </w:rPr>
      </w:pPr>
    </w:p>
    <w:p w14:paraId="01D1BE29" w14:textId="77777777" w:rsidR="00D312E1" w:rsidRDefault="00D312E1" w:rsidP="00D312E1">
      <w:pPr>
        <w:pStyle w:val="NormalWeb"/>
        <w:shd w:val="clear" w:color="auto" w:fill="FFFFFF"/>
        <w:spacing w:before="0" w:beforeAutospacing="0" w:after="240" w:afterAutospacing="0" w:line="343" w:lineRule="atLeast"/>
        <w:rPr>
          <w:rFonts w:ascii="Arial" w:hAnsi="Arial" w:cs="Arial"/>
          <w:color w:val="555555"/>
          <w:sz w:val="20"/>
          <w:szCs w:val="20"/>
        </w:rPr>
      </w:pPr>
      <w:r>
        <w:rPr>
          <w:rFonts w:ascii="Arial" w:hAnsi="Arial" w:cs="Arial"/>
          <w:color w:val="555555"/>
          <w:sz w:val="20"/>
          <w:szCs w:val="20"/>
        </w:rPr>
        <w:t>-Recommendation</w:t>
      </w:r>
      <w:r>
        <w:rPr>
          <w:rFonts w:ascii="Arial" w:hAnsi="Arial" w:cs="Arial"/>
          <w:color w:val="555555"/>
          <w:sz w:val="20"/>
          <w:szCs w:val="20"/>
        </w:rPr>
        <w:br/>
        <w:t>Status: Major Revision</w:t>
      </w:r>
      <w:r>
        <w:rPr>
          <w:rFonts w:ascii="Arial" w:hAnsi="Arial" w:cs="Arial"/>
          <w:color w:val="555555"/>
          <w:sz w:val="20"/>
          <w:szCs w:val="20"/>
        </w:rPr>
        <w:br/>
        <w:t>Justification: The manuscript holds strong potential and interesting findings; however, the authors need to enrich the in-depth physicochemical analysis explaining the performance gap between coffee pulp and spent coffee grounds, and better contextualize the structural-electrochemical correlations in the absence of BET data.</w:t>
      </w:r>
    </w:p>
    <w:p w14:paraId="48C1AA0C" w14:textId="6CB30622" w:rsidR="00713400" w:rsidRPr="00E314E2" w:rsidRDefault="00713400" w:rsidP="00713400">
      <w:pPr>
        <w:pStyle w:val="NormalWeb"/>
        <w:shd w:val="clear" w:color="auto" w:fill="FFFFFF"/>
        <w:spacing w:before="0" w:beforeAutospacing="0" w:after="240" w:afterAutospacing="0" w:line="343" w:lineRule="atLeast"/>
        <w:rPr>
          <w:rFonts w:ascii="Arial" w:hAnsi="Arial" w:cs="Arial"/>
          <w:color w:val="0070C0"/>
          <w:sz w:val="20"/>
          <w:szCs w:val="20"/>
        </w:rPr>
      </w:pPr>
      <w:r w:rsidRPr="00E314E2">
        <w:rPr>
          <w:rFonts w:ascii="Arial" w:hAnsi="Arial" w:cs="Arial"/>
          <w:color w:val="0070C0"/>
          <w:sz w:val="20"/>
          <w:szCs w:val="20"/>
        </w:rPr>
        <w:t xml:space="preserve">Response: </w:t>
      </w:r>
      <w:r w:rsidRPr="00E314E2">
        <w:rPr>
          <w:rFonts w:ascii="Arial" w:hAnsi="Arial" w:cs="Arial"/>
          <w:color w:val="0070C0"/>
          <w:sz w:val="20"/>
          <w:szCs w:val="20"/>
        </w:rPr>
        <w:t>The manuscript has been updated based on the comments above.</w:t>
      </w:r>
    </w:p>
    <w:p w14:paraId="2687F4A8" w14:textId="77777777" w:rsidR="00713400" w:rsidRDefault="00713400" w:rsidP="00D312E1">
      <w:pPr>
        <w:pStyle w:val="NormalWeb"/>
        <w:shd w:val="clear" w:color="auto" w:fill="FFFFFF"/>
        <w:spacing w:before="0" w:beforeAutospacing="0" w:after="240" w:afterAutospacing="0" w:line="343" w:lineRule="atLeast"/>
        <w:rPr>
          <w:rFonts w:ascii="Arial" w:hAnsi="Arial" w:cs="Arial"/>
          <w:color w:val="555555"/>
          <w:sz w:val="20"/>
          <w:szCs w:val="20"/>
        </w:rPr>
      </w:pPr>
    </w:p>
    <w:p w14:paraId="6678EACE" w14:textId="77777777" w:rsidR="00D312E1" w:rsidRDefault="00D312E1" w:rsidP="00D312E1">
      <w:pPr>
        <w:pStyle w:val="NormalWeb"/>
        <w:shd w:val="clear" w:color="auto" w:fill="FFFFFF"/>
        <w:spacing w:before="0" w:beforeAutospacing="0" w:after="240" w:afterAutospacing="0" w:line="343" w:lineRule="atLeast"/>
        <w:rPr>
          <w:rFonts w:ascii="Arial" w:hAnsi="Arial" w:cs="Arial"/>
          <w:color w:val="555555"/>
          <w:sz w:val="20"/>
          <w:szCs w:val="20"/>
        </w:rPr>
      </w:pPr>
      <w:r>
        <w:rPr>
          <w:rFonts w:ascii="Arial" w:hAnsi="Arial" w:cs="Arial"/>
          <w:color w:val="555555"/>
          <w:sz w:val="20"/>
          <w:szCs w:val="20"/>
        </w:rPr>
        <w:t>Reviewer #2</w:t>
      </w:r>
      <w:r>
        <w:rPr>
          <w:rFonts w:ascii="Arial" w:hAnsi="Arial" w:cs="Arial"/>
          <w:color w:val="555555"/>
          <w:sz w:val="20"/>
          <w:szCs w:val="20"/>
        </w:rPr>
        <w:br/>
        <w:t xml:space="preserve">The manuscript reports the synthesis of carbon quantum dots (CQDs) derived from coffee pulp using </w:t>
      </w:r>
      <w:r>
        <w:rPr>
          <w:rFonts w:ascii="Arial" w:hAnsi="Arial" w:cs="Arial"/>
          <w:color w:val="555555"/>
          <w:sz w:val="20"/>
          <w:szCs w:val="20"/>
        </w:rPr>
        <w:lastRenderedPageBreak/>
        <w:t>a one-pot hydrothermal method and investigates their electrochemical performance. The topic is potentially interesting; however, several aspects of the manuscript require substantial improvement before its scientific contribution and conclusions can be properly evaluated.</w:t>
      </w:r>
    </w:p>
    <w:p w14:paraId="47D4DEB8" w14:textId="77777777" w:rsidR="00D312E1" w:rsidRDefault="00D312E1" w:rsidP="00D312E1">
      <w:pPr>
        <w:pStyle w:val="NormalWeb"/>
        <w:numPr>
          <w:ilvl w:val="0"/>
          <w:numId w:val="1"/>
        </w:numPr>
        <w:shd w:val="clear" w:color="auto" w:fill="FFFFFF"/>
        <w:spacing w:before="0" w:beforeAutospacing="0" w:after="0" w:afterAutospacing="0" w:line="343" w:lineRule="atLeast"/>
        <w:ind w:left="945"/>
        <w:rPr>
          <w:rFonts w:ascii="Arial" w:hAnsi="Arial" w:cs="Arial"/>
          <w:color w:val="555555"/>
          <w:sz w:val="20"/>
          <w:szCs w:val="20"/>
        </w:rPr>
      </w:pPr>
      <w:r>
        <w:rPr>
          <w:rFonts w:ascii="Arial" w:hAnsi="Arial" w:cs="Arial"/>
          <w:color w:val="555555"/>
          <w:sz w:val="20"/>
          <w:szCs w:val="20"/>
        </w:rPr>
        <w:t>The abstract should be substantially enhanced. It should begin with a clear statement explaining the scientific importance and motivation of the study, followed by a concise description of the synthesis method. The main quantitative results should then be clearly presented, together with the significance and potential implications of the findings.</w:t>
      </w:r>
    </w:p>
    <w:p w14:paraId="4D99A29F" w14:textId="462C19D5" w:rsidR="00045618" w:rsidRPr="00E314E2" w:rsidRDefault="00045618" w:rsidP="00BD6AA0">
      <w:pPr>
        <w:pStyle w:val="NormalWeb"/>
        <w:shd w:val="clear" w:color="auto" w:fill="FFFFFF"/>
        <w:spacing w:before="0" w:beforeAutospacing="0" w:after="240" w:afterAutospacing="0" w:line="343" w:lineRule="atLeast"/>
        <w:ind w:left="720" w:firstLine="225"/>
        <w:rPr>
          <w:rFonts w:ascii="Arial" w:hAnsi="Arial" w:cs="Arial"/>
          <w:color w:val="0070C0"/>
          <w:sz w:val="20"/>
          <w:szCs w:val="20"/>
        </w:rPr>
      </w:pPr>
      <w:r w:rsidRPr="00E314E2">
        <w:rPr>
          <w:rFonts w:ascii="Arial" w:hAnsi="Arial" w:cs="Arial"/>
          <w:color w:val="0070C0"/>
          <w:sz w:val="20"/>
          <w:szCs w:val="20"/>
        </w:rPr>
        <w:t>Response:</w:t>
      </w:r>
      <w:r w:rsidR="00BD6AA0" w:rsidRPr="00E314E2">
        <w:rPr>
          <w:rFonts w:ascii="Arial" w:hAnsi="Arial" w:cs="Arial"/>
          <w:color w:val="0070C0"/>
          <w:sz w:val="20"/>
          <w:szCs w:val="20"/>
        </w:rPr>
        <w:t xml:space="preserve"> The abstract has been updated as suggested</w:t>
      </w:r>
      <w:r w:rsidRPr="00E314E2">
        <w:rPr>
          <w:rFonts w:ascii="Arial" w:hAnsi="Arial" w:cs="Arial"/>
          <w:color w:val="0070C0"/>
          <w:sz w:val="20"/>
          <w:szCs w:val="20"/>
        </w:rPr>
        <w:t>.</w:t>
      </w:r>
    </w:p>
    <w:p w14:paraId="4C710951" w14:textId="77777777" w:rsidR="00D312E1" w:rsidRDefault="00D312E1" w:rsidP="00D312E1">
      <w:pPr>
        <w:pStyle w:val="NormalWeb"/>
        <w:numPr>
          <w:ilvl w:val="0"/>
          <w:numId w:val="1"/>
        </w:numPr>
        <w:shd w:val="clear" w:color="auto" w:fill="FFFFFF"/>
        <w:spacing w:before="0" w:beforeAutospacing="0" w:after="0" w:afterAutospacing="0" w:line="343" w:lineRule="atLeast"/>
        <w:ind w:left="945"/>
        <w:rPr>
          <w:rFonts w:ascii="Arial" w:hAnsi="Arial" w:cs="Arial"/>
          <w:color w:val="555555"/>
          <w:sz w:val="20"/>
          <w:szCs w:val="20"/>
        </w:rPr>
      </w:pPr>
      <w:r>
        <w:rPr>
          <w:rFonts w:ascii="Arial" w:hAnsi="Arial" w:cs="Arial"/>
          <w:color w:val="555555"/>
          <w:sz w:val="20"/>
          <w:szCs w:val="20"/>
        </w:rPr>
        <w:t>The Introduction requires significant improvement. Currently, it consists of only two paragraphs and does not provide sufficient scientific justification for conducting the present study. The motivation appears to rely mainly on the statement that the use of coffee pulp as a precursor is “far less explored”; however, this alone is insufficient to establish a strong scientific rationale. The authors should provide a more comprehensive discussion of the relevant previous studies, including CQD synthesis from other biomass-derived precursors and their applications in electrochemical energy storage. The limitations and unresolved issues in previous studies should be clearly identified to establish the research gap. Consequently, the novelty, state-of-the-art, and specific contribution of the present work should be more explicitly and convincingly articulated.</w:t>
      </w:r>
    </w:p>
    <w:p w14:paraId="0A9D8040" w14:textId="22B304AB" w:rsidR="00BD6AA0" w:rsidRPr="00E314E2" w:rsidRDefault="00E314E2" w:rsidP="00E314E2">
      <w:pPr>
        <w:pStyle w:val="NormalWeb"/>
        <w:shd w:val="clear" w:color="auto" w:fill="FFFFFF"/>
        <w:spacing w:before="0" w:beforeAutospacing="0" w:after="240" w:afterAutospacing="0" w:line="343" w:lineRule="atLeast"/>
        <w:ind w:left="720" w:firstLine="225"/>
        <w:rPr>
          <w:rFonts w:ascii="Arial" w:hAnsi="Arial" w:cs="Arial"/>
          <w:color w:val="0070C0"/>
          <w:sz w:val="20"/>
          <w:szCs w:val="20"/>
        </w:rPr>
      </w:pPr>
      <w:r w:rsidRPr="00E314E2">
        <w:rPr>
          <w:rFonts w:ascii="Arial" w:hAnsi="Arial" w:cs="Arial"/>
          <w:color w:val="0070C0"/>
          <w:sz w:val="20"/>
          <w:szCs w:val="20"/>
        </w:rPr>
        <w:t xml:space="preserve">Response: This has been added in section 1 as highlighted in yellow on page </w:t>
      </w:r>
      <w:r>
        <w:rPr>
          <w:rFonts w:ascii="Arial" w:hAnsi="Arial" w:cs="Arial"/>
          <w:color w:val="0070C0"/>
          <w:sz w:val="20"/>
          <w:szCs w:val="20"/>
        </w:rPr>
        <w:t xml:space="preserve">1 and </w:t>
      </w:r>
      <w:r w:rsidRPr="00E314E2">
        <w:rPr>
          <w:rFonts w:ascii="Arial" w:hAnsi="Arial" w:cs="Arial"/>
          <w:color w:val="0070C0"/>
          <w:sz w:val="20"/>
          <w:szCs w:val="20"/>
        </w:rPr>
        <w:t>2.</w:t>
      </w:r>
    </w:p>
    <w:p w14:paraId="277F456A" w14:textId="77777777" w:rsidR="00D312E1" w:rsidRDefault="00D312E1" w:rsidP="00D312E1">
      <w:pPr>
        <w:pStyle w:val="NormalWeb"/>
        <w:numPr>
          <w:ilvl w:val="0"/>
          <w:numId w:val="1"/>
        </w:numPr>
        <w:shd w:val="clear" w:color="auto" w:fill="FFFFFF"/>
        <w:spacing w:before="0" w:beforeAutospacing="0" w:after="0" w:afterAutospacing="0" w:line="343" w:lineRule="atLeast"/>
        <w:ind w:left="945"/>
        <w:rPr>
          <w:rFonts w:ascii="Arial" w:hAnsi="Arial" w:cs="Arial"/>
          <w:color w:val="555555"/>
          <w:sz w:val="20"/>
          <w:szCs w:val="20"/>
        </w:rPr>
      </w:pPr>
      <w:r>
        <w:rPr>
          <w:rFonts w:ascii="Arial" w:hAnsi="Arial" w:cs="Arial"/>
          <w:color w:val="555555"/>
          <w:sz w:val="20"/>
          <w:szCs w:val="20"/>
        </w:rPr>
        <w:t>More experimental details should be provided regarding the dialysis process, including the type of dialysis membrane or tubing used. In addition, the authors may consider including the equations or formulations used to calculate the energy density and power density.</w:t>
      </w:r>
    </w:p>
    <w:p w14:paraId="0E1A7C4A" w14:textId="6A583260" w:rsidR="00E314E2" w:rsidRPr="00E314E2" w:rsidRDefault="00E314E2" w:rsidP="00E314E2">
      <w:pPr>
        <w:pStyle w:val="NormalWeb"/>
        <w:shd w:val="clear" w:color="auto" w:fill="FFFFFF"/>
        <w:spacing w:before="0" w:beforeAutospacing="0" w:after="240" w:afterAutospacing="0" w:line="343" w:lineRule="atLeast"/>
        <w:ind w:left="952" w:hanging="7"/>
        <w:rPr>
          <w:rFonts w:ascii="Arial" w:hAnsi="Arial" w:cs="Arial"/>
          <w:color w:val="0070C0"/>
          <w:sz w:val="20"/>
          <w:szCs w:val="20"/>
        </w:rPr>
      </w:pPr>
      <w:r w:rsidRPr="00E314E2">
        <w:rPr>
          <w:rFonts w:ascii="Arial" w:hAnsi="Arial" w:cs="Arial"/>
          <w:color w:val="0070C0"/>
          <w:sz w:val="20"/>
          <w:szCs w:val="20"/>
        </w:rPr>
        <w:t xml:space="preserve">Response: A reference has been added to support the </w:t>
      </w:r>
      <w:r>
        <w:rPr>
          <w:rFonts w:ascii="Arial" w:hAnsi="Arial" w:cs="Arial"/>
          <w:color w:val="0070C0"/>
          <w:sz w:val="20"/>
          <w:szCs w:val="20"/>
        </w:rPr>
        <w:t>experimental details</w:t>
      </w:r>
      <w:r w:rsidRPr="00E314E2">
        <w:rPr>
          <w:rFonts w:ascii="Arial" w:hAnsi="Arial" w:cs="Arial"/>
          <w:color w:val="0070C0"/>
          <w:sz w:val="20"/>
          <w:szCs w:val="20"/>
        </w:rPr>
        <w:t xml:space="preserve"> as highlighted in yellow on page 2.</w:t>
      </w:r>
      <w:r>
        <w:rPr>
          <w:rFonts w:ascii="Arial" w:hAnsi="Arial" w:cs="Arial"/>
          <w:color w:val="0070C0"/>
          <w:sz w:val="20"/>
          <w:szCs w:val="20"/>
        </w:rPr>
        <w:t xml:space="preserve"> Equation (3) has been added  to show the formula used for energy density.</w:t>
      </w:r>
    </w:p>
    <w:p w14:paraId="5896B6F1" w14:textId="77777777" w:rsidR="00D312E1" w:rsidRDefault="00D312E1" w:rsidP="00D312E1">
      <w:pPr>
        <w:pStyle w:val="NormalWeb"/>
        <w:numPr>
          <w:ilvl w:val="0"/>
          <w:numId w:val="1"/>
        </w:numPr>
        <w:shd w:val="clear" w:color="auto" w:fill="FFFFFF"/>
        <w:spacing w:before="0" w:beforeAutospacing="0" w:after="0" w:afterAutospacing="0" w:line="343" w:lineRule="atLeast"/>
        <w:ind w:left="945"/>
        <w:rPr>
          <w:rFonts w:ascii="Arial" w:hAnsi="Arial" w:cs="Arial"/>
          <w:color w:val="555555"/>
          <w:sz w:val="20"/>
          <w:szCs w:val="20"/>
        </w:rPr>
      </w:pPr>
      <w:r>
        <w:rPr>
          <w:rFonts w:ascii="Arial" w:hAnsi="Arial" w:cs="Arial"/>
          <w:color w:val="555555"/>
          <w:sz w:val="20"/>
          <w:szCs w:val="20"/>
        </w:rPr>
        <w:t>Results and Discussion: A major concern is the identification and confirmation of the synthesized material as CQDs. How can the authors conclusively confirm that CQDs were formed when the structural and morphological characterization is limited to SEM-EDX? Graphitic carbon materials may also exhibit similar microstructural features; therefore, SEM alone is not sufficient to verify the formation of CQDs. Direct characterization using TEM is strongly recommended to confirm the particle size, morphology, and lattice structure of the CQDs. At a minimum, additional evidence related to the characteristic photoluminescence or fluorescence properties of CQDs should be provided to support their successful formation. Furthermore, complementary characterization, such as XRD, FTIR, and BET surface area analysis, is recommended to provide a more comprehensive understanding of the crystal structure, surface functional groups, and textural properties of the material.</w:t>
      </w:r>
    </w:p>
    <w:p w14:paraId="3B4AA065" w14:textId="0C3A201B" w:rsidR="00F17315" w:rsidRDefault="00F17315" w:rsidP="00F17315">
      <w:pPr>
        <w:pStyle w:val="NormalWeb"/>
        <w:shd w:val="clear" w:color="auto" w:fill="FFFFFF"/>
        <w:spacing w:before="0" w:beforeAutospacing="0" w:after="0" w:afterAutospacing="0" w:line="343" w:lineRule="atLeast"/>
        <w:ind w:left="945"/>
        <w:rPr>
          <w:rFonts w:ascii="Arial" w:hAnsi="Arial" w:cs="Arial"/>
          <w:color w:val="0070C0"/>
          <w:sz w:val="20"/>
          <w:szCs w:val="20"/>
        </w:rPr>
      </w:pPr>
      <w:r w:rsidRPr="00E314E2">
        <w:rPr>
          <w:rFonts w:ascii="Arial" w:hAnsi="Arial" w:cs="Arial"/>
          <w:color w:val="0070C0"/>
          <w:sz w:val="20"/>
          <w:szCs w:val="20"/>
        </w:rPr>
        <w:lastRenderedPageBreak/>
        <w:t xml:space="preserve">Response: </w:t>
      </w:r>
      <w:r>
        <w:rPr>
          <w:rFonts w:ascii="Arial" w:hAnsi="Arial" w:cs="Arial"/>
          <w:color w:val="0070C0"/>
          <w:sz w:val="20"/>
          <w:szCs w:val="20"/>
        </w:rPr>
        <w:t>Although TEM and BET results are desirable, we are not able to present them in this manuscript due to time and cost constraint. The results will be made available in full length article in future work. Nevertheless, explanation has been added to address this concern, as highlighted in yellow on page 3 and 4-5.</w:t>
      </w:r>
    </w:p>
    <w:p w14:paraId="05B0405C" w14:textId="77777777" w:rsidR="00F17315" w:rsidRDefault="00F17315" w:rsidP="00F17315">
      <w:pPr>
        <w:pStyle w:val="NormalWeb"/>
        <w:shd w:val="clear" w:color="auto" w:fill="FFFFFF"/>
        <w:spacing w:before="0" w:beforeAutospacing="0" w:after="0" w:afterAutospacing="0" w:line="343" w:lineRule="atLeast"/>
        <w:ind w:left="945"/>
        <w:rPr>
          <w:rFonts w:ascii="Arial" w:hAnsi="Arial" w:cs="Arial"/>
          <w:color w:val="555555"/>
          <w:sz w:val="20"/>
          <w:szCs w:val="20"/>
        </w:rPr>
      </w:pPr>
    </w:p>
    <w:p w14:paraId="28F527AD" w14:textId="77777777" w:rsidR="00D312E1" w:rsidRDefault="00D312E1" w:rsidP="00D312E1">
      <w:pPr>
        <w:pStyle w:val="NormalWeb"/>
        <w:numPr>
          <w:ilvl w:val="0"/>
          <w:numId w:val="1"/>
        </w:numPr>
        <w:shd w:val="clear" w:color="auto" w:fill="FFFFFF"/>
        <w:spacing w:before="0" w:beforeAutospacing="0" w:after="0" w:afterAutospacing="0" w:line="343" w:lineRule="atLeast"/>
        <w:ind w:left="945"/>
        <w:rPr>
          <w:rFonts w:ascii="Arial" w:hAnsi="Arial" w:cs="Arial"/>
          <w:color w:val="555555"/>
          <w:sz w:val="20"/>
          <w:szCs w:val="20"/>
        </w:rPr>
      </w:pPr>
      <w:r>
        <w:rPr>
          <w:rFonts w:ascii="Arial" w:hAnsi="Arial" w:cs="Arial"/>
          <w:color w:val="555555"/>
          <w:sz w:val="20"/>
          <w:szCs w:val="20"/>
        </w:rPr>
        <w:t>The GCD measurement appears to have been conducted at only one current density. The electrochemical performance should be evaluated over a range of current densities to assess the rate capability of the electrode. In addition, cycling stability tests over an appropriate number of charge-discharge cycles should be conducted to demonstrate the durability and practical electrochemical performance of the material. The applied current density should also be clearly indicated in Figure 4 or explicitly stated in its caption.</w:t>
      </w:r>
    </w:p>
    <w:p w14:paraId="50657E35" w14:textId="2D45A92A" w:rsidR="00F17315" w:rsidRDefault="00F17315" w:rsidP="00F17315">
      <w:pPr>
        <w:pStyle w:val="NormalWeb"/>
        <w:shd w:val="clear" w:color="auto" w:fill="FFFFFF"/>
        <w:spacing w:before="0" w:beforeAutospacing="0" w:after="0" w:afterAutospacing="0" w:line="343" w:lineRule="atLeast"/>
        <w:ind w:left="945"/>
        <w:rPr>
          <w:rFonts w:ascii="Arial" w:hAnsi="Arial" w:cs="Arial"/>
          <w:color w:val="0070C0"/>
          <w:sz w:val="20"/>
          <w:szCs w:val="20"/>
        </w:rPr>
      </w:pPr>
      <w:r w:rsidRPr="00E314E2">
        <w:rPr>
          <w:rFonts w:ascii="Arial" w:hAnsi="Arial" w:cs="Arial"/>
          <w:color w:val="0070C0"/>
          <w:sz w:val="20"/>
          <w:szCs w:val="20"/>
        </w:rPr>
        <w:t xml:space="preserve">Response: </w:t>
      </w:r>
      <w:r w:rsidR="00FC4003">
        <w:rPr>
          <w:rFonts w:ascii="Arial" w:hAnsi="Arial" w:cs="Arial"/>
          <w:color w:val="0070C0"/>
          <w:sz w:val="20"/>
          <w:szCs w:val="20"/>
        </w:rPr>
        <w:t>The applied current density value has been included in the text. Additional cycling stability test is not possible to be included in this version due to word-count limitation and the brevity of the proceedings nature. Nevertheless, t</w:t>
      </w:r>
      <w:r w:rsidR="00FC4003">
        <w:rPr>
          <w:rFonts w:ascii="Arial" w:hAnsi="Arial" w:cs="Arial"/>
          <w:color w:val="0070C0"/>
          <w:sz w:val="20"/>
          <w:szCs w:val="20"/>
        </w:rPr>
        <w:t>he results will be made available in full length article in future work.</w:t>
      </w:r>
    </w:p>
    <w:p w14:paraId="4CAE9EC9" w14:textId="77777777" w:rsidR="00FC4003" w:rsidRDefault="00FC4003" w:rsidP="00F17315">
      <w:pPr>
        <w:pStyle w:val="NormalWeb"/>
        <w:shd w:val="clear" w:color="auto" w:fill="FFFFFF"/>
        <w:spacing w:before="0" w:beforeAutospacing="0" w:after="0" w:afterAutospacing="0" w:line="343" w:lineRule="atLeast"/>
        <w:ind w:left="945"/>
        <w:rPr>
          <w:rFonts w:ascii="Arial" w:hAnsi="Arial" w:cs="Arial"/>
          <w:color w:val="555555"/>
          <w:sz w:val="20"/>
          <w:szCs w:val="20"/>
        </w:rPr>
      </w:pPr>
    </w:p>
    <w:p w14:paraId="5FFFCF71" w14:textId="77777777" w:rsidR="00D312E1" w:rsidRDefault="00D312E1" w:rsidP="00D312E1">
      <w:pPr>
        <w:pStyle w:val="NormalWeb"/>
        <w:numPr>
          <w:ilvl w:val="0"/>
          <w:numId w:val="1"/>
        </w:numPr>
        <w:shd w:val="clear" w:color="auto" w:fill="FFFFFF"/>
        <w:spacing w:before="0" w:beforeAutospacing="0" w:after="0" w:afterAutospacing="0" w:line="343" w:lineRule="atLeast"/>
        <w:ind w:left="945"/>
        <w:rPr>
          <w:rFonts w:ascii="Arial" w:hAnsi="Arial" w:cs="Arial"/>
          <w:color w:val="555555"/>
          <w:sz w:val="20"/>
          <w:szCs w:val="20"/>
        </w:rPr>
      </w:pPr>
      <w:r>
        <w:rPr>
          <w:rFonts w:ascii="Arial" w:hAnsi="Arial" w:cs="Arial"/>
          <w:color w:val="555555"/>
          <w:sz w:val="20"/>
          <w:szCs w:val="20"/>
        </w:rPr>
        <w:t>Regarding Figure 6, the term “authors’ previous work” should be accompanied by the appropriate reference(s) so that readers can clearly identify the source of the comparison data. In addition, the origin of the black sphere symbol in Fig. should be clarified, and the corresponding data source should also be properly cited.</w:t>
      </w:r>
    </w:p>
    <w:p w14:paraId="0DBC8D7C" w14:textId="58BF2E22" w:rsidR="00FC4003" w:rsidRDefault="00FC4003" w:rsidP="00FC4003">
      <w:pPr>
        <w:pStyle w:val="NormalWeb"/>
        <w:shd w:val="clear" w:color="auto" w:fill="FFFFFF"/>
        <w:spacing w:before="0" w:beforeAutospacing="0" w:after="0" w:afterAutospacing="0" w:line="343" w:lineRule="atLeast"/>
        <w:ind w:left="945"/>
        <w:rPr>
          <w:rFonts w:ascii="Arial" w:hAnsi="Arial" w:cs="Arial"/>
          <w:color w:val="0070C0"/>
          <w:sz w:val="20"/>
          <w:szCs w:val="20"/>
        </w:rPr>
      </w:pPr>
      <w:r w:rsidRPr="00E314E2">
        <w:rPr>
          <w:rFonts w:ascii="Arial" w:hAnsi="Arial" w:cs="Arial"/>
          <w:color w:val="0070C0"/>
          <w:sz w:val="20"/>
          <w:szCs w:val="20"/>
        </w:rPr>
        <w:t xml:space="preserve">Response: </w:t>
      </w:r>
      <w:r>
        <w:rPr>
          <w:rFonts w:ascii="Arial" w:hAnsi="Arial" w:cs="Arial"/>
          <w:color w:val="0070C0"/>
          <w:sz w:val="20"/>
          <w:szCs w:val="20"/>
        </w:rPr>
        <w:t>Previous work</w:t>
      </w:r>
      <w:r w:rsidRPr="00E314E2">
        <w:rPr>
          <w:rFonts w:ascii="Arial" w:hAnsi="Arial" w:cs="Arial"/>
          <w:color w:val="0070C0"/>
          <w:sz w:val="20"/>
          <w:szCs w:val="20"/>
        </w:rPr>
        <w:t xml:space="preserve"> reference</w:t>
      </w:r>
      <w:r>
        <w:rPr>
          <w:rFonts w:ascii="Arial" w:hAnsi="Arial" w:cs="Arial"/>
          <w:color w:val="0070C0"/>
          <w:sz w:val="20"/>
          <w:szCs w:val="20"/>
        </w:rPr>
        <w:t>s have been included in the text on page 6.</w:t>
      </w:r>
    </w:p>
    <w:p w14:paraId="40F4E1B2" w14:textId="77777777" w:rsidR="00FC4003" w:rsidRDefault="00FC4003" w:rsidP="00FC4003">
      <w:pPr>
        <w:pStyle w:val="NormalWeb"/>
        <w:shd w:val="clear" w:color="auto" w:fill="FFFFFF"/>
        <w:spacing w:before="0" w:beforeAutospacing="0" w:after="0" w:afterAutospacing="0" w:line="343" w:lineRule="atLeast"/>
        <w:ind w:left="945"/>
        <w:rPr>
          <w:rFonts w:ascii="Arial" w:hAnsi="Arial" w:cs="Arial"/>
          <w:color w:val="555555"/>
          <w:sz w:val="20"/>
          <w:szCs w:val="20"/>
        </w:rPr>
      </w:pPr>
    </w:p>
    <w:p w14:paraId="73C619B5" w14:textId="77777777" w:rsidR="00D312E1" w:rsidRDefault="00D312E1" w:rsidP="00D312E1">
      <w:pPr>
        <w:pStyle w:val="NormalWeb"/>
        <w:numPr>
          <w:ilvl w:val="0"/>
          <w:numId w:val="1"/>
        </w:numPr>
        <w:shd w:val="clear" w:color="auto" w:fill="FFFFFF"/>
        <w:spacing w:before="0" w:beforeAutospacing="0" w:after="0" w:afterAutospacing="0" w:line="343" w:lineRule="atLeast"/>
        <w:ind w:left="945"/>
        <w:rPr>
          <w:rFonts w:ascii="Arial" w:hAnsi="Arial" w:cs="Arial"/>
          <w:color w:val="555555"/>
          <w:sz w:val="20"/>
          <w:szCs w:val="20"/>
        </w:rPr>
      </w:pPr>
      <w:r>
        <w:rPr>
          <w:rFonts w:ascii="Arial" w:hAnsi="Arial" w:cs="Arial"/>
          <w:color w:val="555555"/>
          <w:sz w:val="20"/>
          <w:szCs w:val="20"/>
        </w:rPr>
        <w:t>The manuscript would benefit from a comparison table summarizing the electrochemical performance of the CQDs developed in the present study relative to relevant previous studies. Such a comparison should include key parameters, where available, such as precursor, synthesis method, electrode configuration, electrolyte, specific capacitance, current density, energy density, power density, and cycling stability. This comparison would help position the performance and scientific contribution of the present work within the context of the existing literature.</w:t>
      </w:r>
    </w:p>
    <w:p w14:paraId="0B26B64C" w14:textId="4B05B7A1" w:rsidR="00FC4003" w:rsidRDefault="00FC4003" w:rsidP="00FC4003">
      <w:pPr>
        <w:pStyle w:val="NormalWeb"/>
        <w:shd w:val="clear" w:color="auto" w:fill="FFFFFF"/>
        <w:spacing w:before="0" w:beforeAutospacing="0" w:after="0" w:afterAutospacing="0" w:line="343" w:lineRule="atLeast"/>
        <w:ind w:left="945"/>
        <w:rPr>
          <w:rFonts w:ascii="Arial" w:hAnsi="Arial" w:cs="Arial"/>
          <w:color w:val="555555"/>
          <w:sz w:val="20"/>
          <w:szCs w:val="20"/>
        </w:rPr>
      </w:pPr>
      <w:r w:rsidRPr="00E314E2">
        <w:rPr>
          <w:rFonts w:ascii="Arial" w:hAnsi="Arial" w:cs="Arial"/>
          <w:color w:val="0070C0"/>
          <w:sz w:val="20"/>
          <w:szCs w:val="20"/>
        </w:rPr>
        <w:t xml:space="preserve">Response: </w:t>
      </w:r>
      <w:r>
        <w:rPr>
          <w:rFonts w:ascii="Arial" w:hAnsi="Arial" w:cs="Arial"/>
          <w:color w:val="0070C0"/>
          <w:sz w:val="20"/>
          <w:szCs w:val="20"/>
        </w:rPr>
        <w:t>We would love to include a table comparison but due to page- and word-count limit, Ragone plot comparison is sufficient to convey the same message.</w:t>
      </w:r>
    </w:p>
    <w:p w14:paraId="7DBDFE12" w14:textId="77777777" w:rsidR="00D312E1" w:rsidRDefault="00D312E1"/>
    <w:sectPr w:rsidR="00D312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D44C79"/>
    <w:multiLevelType w:val="multilevel"/>
    <w:tmpl w:val="E4486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67719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E1"/>
    <w:rsid w:val="00045618"/>
    <w:rsid w:val="00713400"/>
    <w:rsid w:val="009E09A2"/>
    <w:rsid w:val="00BD6AA0"/>
    <w:rsid w:val="00D312E1"/>
    <w:rsid w:val="00E314E2"/>
    <w:rsid w:val="00E34597"/>
    <w:rsid w:val="00F17315"/>
    <w:rsid w:val="00FC4003"/>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EAF74B8"/>
  <w15:chartTrackingRefBased/>
  <w15:docId w15:val="{565DC962-5185-FC4C-8FF0-515960E4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MY"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1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12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2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2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2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2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2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2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1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1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2E1"/>
    <w:rPr>
      <w:rFonts w:eastAsiaTheme="majorEastAsia" w:cstheme="majorBidi"/>
      <w:color w:val="272727" w:themeColor="text1" w:themeTint="D8"/>
    </w:rPr>
  </w:style>
  <w:style w:type="paragraph" w:styleId="Title">
    <w:name w:val="Title"/>
    <w:basedOn w:val="Normal"/>
    <w:next w:val="Normal"/>
    <w:link w:val="TitleChar"/>
    <w:uiPriority w:val="10"/>
    <w:qFormat/>
    <w:rsid w:val="00D31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2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2E1"/>
    <w:pPr>
      <w:spacing w:before="160"/>
      <w:jc w:val="center"/>
    </w:pPr>
    <w:rPr>
      <w:i/>
      <w:iCs/>
      <w:color w:val="404040" w:themeColor="text1" w:themeTint="BF"/>
    </w:rPr>
  </w:style>
  <w:style w:type="character" w:customStyle="1" w:styleId="QuoteChar">
    <w:name w:val="Quote Char"/>
    <w:basedOn w:val="DefaultParagraphFont"/>
    <w:link w:val="Quote"/>
    <w:uiPriority w:val="29"/>
    <w:rsid w:val="00D312E1"/>
    <w:rPr>
      <w:i/>
      <w:iCs/>
      <w:color w:val="404040" w:themeColor="text1" w:themeTint="BF"/>
    </w:rPr>
  </w:style>
  <w:style w:type="paragraph" w:styleId="ListParagraph">
    <w:name w:val="List Paragraph"/>
    <w:basedOn w:val="Normal"/>
    <w:uiPriority w:val="34"/>
    <w:qFormat/>
    <w:rsid w:val="00D312E1"/>
    <w:pPr>
      <w:ind w:left="720"/>
      <w:contextualSpacing/>
    </w:pPr>
  </w:style>
  <w:style w:type="character" w:styleId="IntenseEmphasis">
    <w:name w:val="Intense Emphasis"/>
    <w:basedOn w:val="DefaultParagraphFont"/>
    <w:uiPriority w:val="21"/>
    <w:qFormat/>
    <w:rsid w:val="00D312E1"/>
    <w:rPr>
      <w:i/>
      <w:iCs/>
      <w:color w:val="0F4761" w:themeColor="accent1" w:themeShade="BF"/>
    </w:rPr>
  </w:style>
  <w:style w:type="paragraph" w:styleId="IntenseQuote">
    <w:name w:val="Intense Quote"/>
    <w:basedOn w:val="Normal"/>
    <w:next w:val="Normal"/>
    <w:link w:val="IntenseQuoteChar"/>
    <w:uiPriority w:val="30"/>
    <w:qFormat/>
    <w:rsid w:val="00D31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2E1"/>
    <w:rPr>
      <w:i/>
      <w:iCs/>
      <w:color w:val="0F4761" w:themeColor="accent1" w:themeShade="BF"/>
    </w:rPr>
  </w:style>
  <w:style w:type="character" w:styleId="IntenseReference">
    <w:name w:val="Intense Reference"/>
    <w:basedOn w:val="DefaultParagraphFont"/>
    <w:uiPriority w:val="32"/>
    <w:qFormat/>
    <w:rsid w:val="00D312E1"/>
    <w:rPr>
      <w:b/>
      <w:bCs/>
      <w:smallCaps/>
      <w:color w:val="0F4761" w:themeColor="accent1" w:themeShade="BF"/>
      <w:spacing w:val="5"/>
    </w:rPr>
  </w:style>
  <w:style w:type="paragraph" w:styleId="NormalWeb">
    <w:name w:val="Normal (Web)"/>
    <w:basedOn w:val="Normal"/>
    <w:uiPriority w:val="99"/>
    <w:semiHidden/>
    <w:unhideWhenUsed/>
    <w:rsid w:val="00D312E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 Hieng Kiat</dc:creator>
  <cp:keywords/>
  <dc:description/>
  <cp:lastModifiedBy>Jun Hieng Kiat</cp:lastModifiedBy>
  <cp:revision>3</cp:revision>
  <dcterms:created xsi:type="dcterms:W3CDTF">2026-09-10T06:56:00Z</dcterms:created>
  <dcterms:modified xsi:type="dcterms:W3CDTF">2026-09-10T11:06:00Z</dcterms:modified>
</cp:coreProperties>
</file>