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06F" w:rsidRPr="00BB306F" w:rsidRDefault="00BB306F" w:rsidP="00BB306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D"/>
        </w:rPr>
      </w:pPr>
      <w:r w:rsidRPr="00BB306F">
        <w:rPr>
          <w:rFonts w:ascii="Times New Roman" w:eastAsia="Times New Roman" w:hAnsi="Times New Roman" w:cs="Times New Roman"/>
          <w:b/>
          <w:bCs/>
          <w:kern w:val="36"/>
          <w:sz w:val="24"/>
          <w:szCs w:val="24"/>
          <w:highlight w:val="yellow"/>
          <w:lang w:eastAsia="en-ID"/>
        </w:rPr>
        <w:t>Response to Reviewers</w:t>
      </w:r>
    </w:p>
    <w:p w:rsidR="00BB306F" w:rsidRPr="00693638" w:rsidRDefault="00BB306F" w:rsidP="00BB306F">
      <w:pPr>
        <w:pStyle w:val="papertitle"/>
        <w:rPr>
          <w:sz w:val="32"/>
        </w:rPr>
      </w:pPr>
      <w:r w:rsidRPr="00693638">
        <w:rPr>
          <w:szCs w:val="24"/>
          <w:lang w:val="en-AU"/>
        </w:rPr>
        <w:t>Seven-Month Precursor Aging Induces Changes in the Bandgap and Urbach Energy of Ruthenium-Doped Ba₀.₇₅Sr₀.₂₅TiO₃ Thin Films</w:t>
      </w:r>
    </w:p>
    <w:p w:rsidR="00BB306F" w:rsidRPr="00693638" w:rsidRDefault="00BB306F" w:rsidP="00BB306F">
      <w:pPr>
        <w:pStyle w:val="author"/>
        <w:spacing w:line="240" w:lineRule="atLeast"/>
        <w:ind w:right="-28"/>
      </w:pPr>
      <w:r w:rsidRPr="00693638">
        <w:t>Tala’la Sapata</w:t>
      </w:r>
      <w:r w:rsidRPr="00693638">
        <w:rPr>
          <w:vertAlign w:val="superscript"/>
        </w:rPr>
        <w:t>1</w:t>
      </w:r>
      <w:r w:rsidRPr="00693638">
        <w:t>, Annisa Palupi Trisasongko</w:t>
      </w:r>
      <w:r w:rsidRPr="00693638">
        <w:rPr>
          <w:vertAlign w:val="superscript"/>
        </w:rPr>
        <w:t>1</w:t>
      </w:r>
      <w:r w:rsidRPr="00693638">
        <w:t>, Dea Widiawati</w:t>
      </w:r>
      <w:r>
        <w:rPr>
          <w:vertAlign w:val="superscript"/>
        </w:rPr>
        <w:t>2</w:t>
      </w:r>
      <w:r w:rsidRPr="00693638">
        <w:t>, Naila Nur Alifa</w:t>
      </w:r>
      <w:r>
        <w:rPr>
          <w:vertAlign w:val="superscript"/>
        </w:rPr>
        <w:t>2</w:t>
      </w:r>
      <w:r w:rsidRPr="00693638">
        <w:t>, Kinanthi Freda Bhanuwati</w:t>
      </w:r>
      <w:r>
        <w:rPr>
          <w:vertAlign w:val="superscript"/>
        </w:rPr>
        <w:t>2</w:t>
      </w:r>
      <w:r w:rsidRPr="00693638">
        <w:t>,</w:t>
      </w:r>
      <w:r w:rsidRPr="00693638">
        <w:rPr>
          <w:vertAlign w:val="superscript"/>
        </w:rPr>
        <w:t xml:space="preserve"> </w:t>
      </w:r>
      <w:r w:rsidRPr="00693638">
        <w:t>Ardian Arif Setiawan</w:t>
      </w:r>
      <w:r>
        <w:rPr>
          <w:vertAlign w:val="superscript"/>
        </w:rPr>
        <w:t>2</w:t>
      </w:r>
      <w:r w:rsidRPr="00693638">
        <w:t>, Irmansyah</w:t>
      </w:r>
      <w:r>
        <w:rPr>
          <w:vertAlign w:val="superscript"/>
        </w:rPr>
        <w:t>2</w:t>
      </w:r>
      <w:r w:rsidRPr="00693638">
        <w:t>, Setyanto Tri Wahyudi</w:t>
      </w:r>
      <w:r>
        <w:rPr>
          <w:vertAlign w:val="superscript"/>
        </w:rPr>
        <w:t>2</w:t>
      </w:r>
      <w:r w:rsidRPr="00693638">
        <w:t>, Voon Chun Hong</w:t>
      </w:r>
      <w:r>
        <w:rPr>
          <w:vertAlign w:val="superscript"/>
        </w:rPr>
        <w:t>3</w:t>
      </w:r>
      <w:r w:rsidRPr="00693638">
        <w:t>, Rofiqul Umam</w:t>
      </w:r>
      <w:r>
        <w:rPr>
          <w:vertAlign w:val="superscript"/>
        </w:rPr>
        <w:t>4</w:t>
      </w:r>
      <w:r w:rsidRPr="00693638">
        <w:t>, Hirotaka Takahashi</w:t>
      </w:r>
      <w:r>
        <w:rPr>
          <w:vertAlign w:val="superscript"/>
        </w:rPr>
        <w:t>5</w:t>
      </w:r>
      <w:r w:rsidRPr="00693638">
        <w:t>, Irzaman</w:t>
      </w:r>
      <w:r>
        <w:rPr>
          <w:vertAlign w:val="superscript"/>
        </w:rPr>
        <w:t>2</w:t>
      </w:r>
    </w:p>
    <w:p w:rsidR="00BB306F" w:rsidRDefault="00BB306F" w:rsidP="00BB306F">
      <w:pPr>
        <w:spacing w:after="200" w:line="220" w:lineRule="atLeast"/>
        <w:contextualSpacing/>
        <w:jc w:val="center"/>
        <w:rPr>
          <w:rFonts w:ascii="Times New Roman" w:hAnsi="Times New Roman" w:cs="Times New Roman"/>
          <w:sz w:val="18"/>
          <w:szCs w:val="20"/>
        </w:rPr>
      </w:pPr>
      <w:r w:rsidRPr="00693638">
        <w:rPr>
          <w:rFonts w:ascii="Times New Roman" w:hAnsi="Times New Roman" w:cs="Times New Roman"/>
          <w:sz w:val="18"/>
          <w:szCs w:val="20"/>
          <w:vertAlign w:val="superscript"/>
        </w:rPr>
        <w:t>1</w:t>
      </w:r>
      <w:r w:rsidRPr="00693638">
        <w:rPr>
          <w:rFonts w:ascii="Times New Roman" w:hAnsi="Times New Roman" w:cs="Times New Roman"/>
          <w:sz w:val="18"/>
          <w:szCs w:val="20"/>
        </w:rPr>
        <w:t xml:space="preserve"> </w:t>
      </w:r>
      <w:r>
        <w:rPr>
          <w:rFonts w:ascii="Times New Roman" w:hAnsi="Times New Roman" w:cs="Times New Roman"/>
          <w:sz w:val="18"/>
          <w:szCs w:val="20"/>
        </w:rPr>
        <w:t>Biophysics Study Program</w:t>
      </w:r>
      <w:r w:rsidRPr="00693638">
        <w:rPr>
          <w:rFonts w:ascii="Times New Roman" w:hAnsi="Times New Roman" w:cs="Times New Roman"/>
          <w:sz w:val="18"/>
          <w:szCs w:val="20"/>
        </w:rPr>
        <w:t>, Department of Physics</w:t>
      </w:r>
      <w:r>
        <w:rPr>
          <w:rFonts w:ascii="Times New Roman" w:hAnsi="Times New Roman" w:cs="Times New Roman"/>
          <w:sz w:val="18"/>
          <w:szCs w:val="20"/>
        </w:rPr>
        <w:t xml:space="preserve">, </w:t>
      </w:r>
      <w:r w:rsidRPr="00693638">
        <w:rPr>
          <w:rFonts w:ascii="Times New Roman" w:hAnsi="Times New Roman" w:cs="Times New Roman"/>
          <w:sz w:val="18"/>
          <w:szCs w:val="20"/>
        </w:rPr>
        <w:t>Faculty of Mathematics and Natural Science, IPB University, 16680, Bogor, Indonesia</w:t>
      </w:r>
    </w:p>
    <w:p w:rsidR="00BB306F" w:rsidRPr="00693638" w:rsidRDefault="00BB306F" w:rsidP="00BB306F">
      <w:pPr>
        <w:spacing w:after="200" w:line="220" w:lineRule="atLeast"/>
        <w:contextualSpacing/>
        <w:jc w:val="center"/>
        <w:rPr>
          <w:rFonts w:ascii="Times New Roman" w:hAnsi="Times New Roman" w:cs="Times New Roman"/>
          <w:sz w:val="18"/>
          <w:szCs w:val="20"/>
        </w:rPr>
      </w:pPr>
      <w:r>
        <w:rPr>
          <w:rFonts w:ascii="Times New Roman" w:hAnsi="Times New Roman" w:cs="Times New Roman"/>
          <w:sz w:val="18"/>
          <w:szCs w:val="20"/>
          <w:vertAlign w:val="superscript"/>
        </w:rPr>
        <w:t>2</w:t>
      </w:r>
      <w:r w:rsidRPr="00693638">
        <w:rPr>
          <w:rFonts w:ascii="Times New Roman" w:hAnsi="Times New Roman" w:cs="Times New Roman"/>
          <w:sz w:val="18"/>
          <w:szCs w:val="20"/>
        </w:rPr>
        <w:t xml:space="preserve"> Department of Physics, Faculty of Mathematics and Natural Science, IPB University, </w:t>
      </w:r>
      <w:r>
        <w:rPr>
          <w:rFonts w:ascii="Times New Roman" w:hAnsi="Times New Roman" w:cs="Times New Roman"/>
          <w:sz w:val="18"/>
          <w:szCs w:val="20"/>
        </w:rPr>
        <w:t xml:space="preserve">Bogor, </w:t>
      </w:r>
      <w:r w:rsidRPr="003B7D5E">
        <w:rPr>
          <w:rFonts w:ascii="Times New Roman" w:hAnsi="Times New Roman" w:cs="Times New Roman"/>
          <w:sz w:val="18"/>
          <w:szCs w:val="20"/>
        </w:rPr>
        <w:t>16680</w:t>
      </w:r>
      <w:r w:rsidRPr="00693638">
        <w:rPr>
          <w:rFonts w:ascii="Times New Roman" w:hAnsi="Times New Roman" w:cs="Times New Roman"/>
          <w:sz w:val="18"/>
          <w:szCs w:val="20"/>
        </w:rPr>
        <w:t>, Indonesia</w:t>
      </w:r>
    </w:p>
    <w:p w:rsidR="00BB306F" w:rsidRPr="00693638" w:rsidRDefault="00BB306F" w:rsidP="00BB306F">
      <w:pPr>
        <w:spacing w:after="200" w:line="220" w:lineRule="atLeast"/>
        <w:contextualSpacing/>
        <w:jc w:val="center"/>
        <w:rPr>
          <w:rFonts w:ascii="Times New Roman" w:hAnsi="Times New Roman" w:cs="Times New Roman"/>
          <w:sz w:val="18"/>
        </w:rPr>
      </w:pPr>
      <w:r>
        <w:rPr>
          <w:rFonts w:ascii="Times New Roman" w:hAnsi="Times New Roman" w:cs="Times New Roman"/>
          <w:sz w:val="18"/>
          <w:vertAlign w:val="superscript"/>
        </w:rPr>
        <w:t>3</w:t>
      </w:r>
      <w:r w:rsidRPr="00693638">
        <w:rPr>
          <w:rFonts w:ascii="Times New Roman" w:hAnsi="Times New Roman" w:cs="Times New Roman"/>
          <w:sz w:val="18"/>
        </w:rPr>
        <w:t xml:space="preserve"> Institute of Nano Electronic Engineering (INEE), Universiti Malaysia Perlis (UniMAP), 02600 Arau, Perlis, Malaysia</w:t>
      </w:r>
    </w:p>
    <w:p w:rsidR="00BB306F" w:rsidRPr="00693638" w:rsidRDefault="00BB306F" w:rsidP="00BB306F">
      <w:pPr>
        <w:spacing w:after="200" w:line="220" w:lineRule="atLeast"/>
        <w:contextualSpacing/>
        <w:jc w:val="center"/>
        <w:rPr>
          <w:rFonts w:ascii="Times New Roman" w:hAnsi="Times New Roman" w:cs="Times New Roman"/>
          <w:sz w:val="18"/>
        </w:rPr>
      </w:pPr>
      <w:r>
        <w:rPr>
          <w:rFonts w:ascii="Times New Roman" w:hAnsi="Times New Roman" w:cs="Times New Roman"/>
          <w:sz w:val="18"/>
          <w:vertAlign w:val="superscript"/>
        </w:rPr>
        <w:t>4</w:t>
      </w:r>
      <w:r w:rsidRPr="00693638">
        <w:rPr>
          <w:rFonts w:ascii="Times New Roman" w:hAnsi="Times New Roman" w:cs="Times New Roman"/>
          <w:sz w:val="18"/>
        </w:rPr>
        <w:t xml:space="preserve"> Institute of Life and Environmental Sciences, University of Tsukuba, Japan</w:t>
      </w:r>
    </w:p>
    <w:p w:rsidR="00BB306F" w:rsidRPr="004F7228" w:rsidRDefault="00BB306F" w:rsidP="00BB306F">
      <w:pPr>
        <w:spacing w:after="200" w:line="220" w:lineRule="atLeast"/>
        <w:contextualSpacing/>
        <w:jc w:val="center"/>
        <w:rPr>
          <w:rFonts w:ascii="Times New Roman" w:hAnsi="Times New Roman" w:cs="Times New Roman"/>
          <w:sz w:val="18"/>
        </w:rPr>
      </w:pPr>
      <w:r>
        <w:rPr>
          <w:rFonts w:ascii="Times New Roman" w:hAnsi="Times New Roman" w:cs="Times New Roman"/>
          <w:sz w:val="18"/>
          <w:vertAlign w:val="superscript"/>
        </w:rPr>
        <w:t>5</w:t>
      </w:r>
      <w:r>
        <w:rPr>
          <w:rFonts w:ascii="Times New Roman" w:hAnsi="Times New Roman" w:cs="Times New Roman"/>
          <w:sz w:val="18"/>
        </w:rPr>
        <w:t xml:space="preserve"> Fac</w:t>
      </w:r>
      <w:r w:rsidRPr="00693638">
        <w:rPr>
          <w:rFonts w:ascii="Times New Roman" w:hAnsi="Times New Roman" w:cs="Times New Roman"/>
          <w:sz w:val="18"/>
        </w:rPr>
        <w:t>ulty of Design and Data Science, Tokyo City University, Japan</w:t>
      </w:r>
    </w:p>
    <w:p w:rsidR="00BB306F" w:rsidRDefault="00BB306F" w:rsidP="00BB306F">
      <w:pPr>
        <w:spacing w:before="100" w:beforeAutospacing="1" w:after="100" w:afterAutospacing="1" w:line="240" w:lineRule="auto"/>
        <w:jc w:val="both"/>
        <w:rPr>
          <w:rFonts w:ascii="Times New Roman" w:eastAsia="Times New Roman" w:hAnsi="Times New Roman" w:cs="Times New Roman"/>
          <w:sz w:val="20"/>
          <w:szCs w:val="20"/>
          <w:lang w:eastAsia="en-ID"/>
        </w:rPr>
      </w:pPr>
    </w:p>
    <w:p w:rsidR="00BB306F" w:rsidRPr="00BB306F" w:rsidRDefault="00BB306F" w:rsidP="00BB306F">
      <w:pPr>
        <w:spacing w:before="100" w:beforeAutospacing="1" w:after="100" w:afterAutospacing="1" w:line="240" w:lineRule="auto"/>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sz w:val="20"/>
          <w:szCs w:val="20"/>
          <w:lang w:eastAsia="en-ID"/>
        </w:rPr>
        <w:t>We sincerely thank the editor and both reviewers for their constructive comments and valuable suggestions on our manuscript. We have carefully addressed all comments, updated the text, corrected typographical and unit errors, and expanded the quantitative discussion regarding precursor chemistry and characterization protocols. All changes in the revised manuscript have been highlighted for ease of review.</w:t>
      </w:r>
    </w:p>
    <w:p w:rsidR="00BB306F" w:rsidRPr="00BB306F" w:rsidRDefault="00BB306F" w:rsidP="00BB306F">
      <w:pPr>
        <w:spacing w:before="100" w:beforeAutospacing="1" w:after="100" w:afterAutospacing="1" w:line="240" w:lineRule="auto"/>
        <w:jc w:val="both"/>
        <w:outlineLvl w:val="2"/>
        <w:rPr>
          <w:rFonts w:ascii="Times New Roman" w:eastAsia="Times New Roman" w:hAnsi="Times New Roman" w:cs="Times New Roman"/>
          <w:b/>
          <w:bCs/>
          <w:sz w:val="20"/>
          <w:szCs w:val="20"/>
          <w:lang w:eastAsia="en-ID"/>
        </w:rPr>
      </w:pPr>
      <w:r w:rsidRPr="00BB306F">
        <w:rPr>
          <w:rFonts w:ascii="Times New Roman" w:eastAsia="Times New Roman" w:hAnsi="Times New Roman" w:cs="Times New Roman"/>
          <w:b/>
          <w:bCs/>
          <w:sz w:val="20"/>
          <w:szCs w:val="20"/>
          <w:lang w:eastAsia="en-ID"/>
        </w:rPr>
        <w:t>Point-by-Point Response to Reviewer 1</w:t>
      </w:r>
    </w:p>
    <w:p w:rsidR="00BB306F" w:rsidRPr="00BB306F" w:rsidRDefault="00BB306F" w:rsidP="00BB306F">
      <w:pPr>
        <w:spacing w:beforeAutospacing="1" w:after="100" w:afterAutospacing="1" w:line="240" w:lineRule="auto"/>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b/>
          <w:bCs/>
          <w:sz w:val="20"/>
          <w:szCs w:val="20"/>
          <w:lang w:eastAsia="en-ID"/>
        </w:rPr>
        <w:t>Comment 1:</w:t>
      </w:r>
      <w:r w:rsidRPr="00BB306F">
        <w:rPr>
          <w:rFonts w:ascii="Times New Roman" w:eastAsia="Times New Roman" w:hAnsi="Times New Roman" w:cs="Times New Roman"/>
          <w:sz w:val="20"/>
          <w:szCs w:val="20"/>
          <w:lang w:eastAsia="en-ID"/>
        </w:rPr>
        <w:t xml:space="preserve"> </w:t>
      </w:r>
      <w:r w:rsidRPr="00BB306F">
        <w:rPr>
          <w:rFonts w:ascii="Times New Roman" w:eastAsia="Times New Roman" w:hAnsi="Times New Roman" w:cs="Times New Roman"/>
          <w:i/>
          <w:iCs/>
          <w:sz w:val="20"/>
          <w:szCs w:val="20"/>
          <w:lang w:eastAsia="en-ID"/>
        </w:rPr>
        <w:t>The manuscript addresses an important topic in nanoscience and advanced materials research... More quantitative discussion regarding how seven-month aging modifies precursor chemistry and subsequently affects film growth would improve the scientific depth.</w:t>
      </w:r>
    </w:p>
    <w:p w:rsidR="00BB306F" w:rsidRPr="00BB306F" w:rsidRDefault="00BB306F" w:rsidP="00BB306F">
      <w:pPr>
        <w:numPr>
          <w:ilvl w:val="0"/>
          <w:numId w:val="1"/>
        </w:numPr>
        <w:tabs>
          <w:tab w:val="clear" w:pos="720"/>
        </w:tabs>
        <w:spacing w:before="100" w:beforeAutospacing="1" w:after="100" w:afterAutospacing="1" w:line="240" w:lineRule="auto"/>
        <w:ind w:left="426"/>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b/>
          <w:bCs/>
          <w:sz w:val="20"/>
          <w:szCs w:val="20"/>
          <w:lang w:eastAsia="en-ID"/>
        </w:rPr>
        <w:t>Response:</w:t>
      </w:r>
    </w:p>
    <w:p w:rsidR="00BB306F" w:rsidRDefault="00BB306F" w:rsidP="00BB306F">
      <w:pPr>
        <w:spacing w:before="100" w:beforeAutospacing="1" w:after="100" w:afterAutospacing="1" w:line="240" w:lineRule="auto"/>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sz w:val="20"/>
          <w:szCs w:val="20"/>
          <w:lang w:eastAsia="en-ID"/>
        </w:rPr>
        <w:t xml:space="preserve">We thank the reviewer for this insightful suggestion. We have expanded the </w:t>
      </w:r>
      <w:r w:rsidRPr="00BB306F">
        <w:rPr>
          <w:rFonts w:ascii="Times New Roman" w:eastAsia="Times New Roman" w:hAnsi="Times New Roman" w:cs="Times New Roman"/>
          <w:b/>
          <w:bCs/>
          <w:sz w:val="20"/>
          <w:szCs w:val="20"/>
          <w:lang w:eastAsia="en-ID"/>
        </w:rPr>
        <w:t>Methods</w:t>
      </w:r>
      <w:r w:rsidRPr="00BB306F">
        <w:rPr>
          <w:rFonts w:ascii="Times New Roman" w:eastAsia="Times New Roman" w:hAnsi="Times New Roman" w:cs="Times New Roman"/>
          <w:sz w:val="20"/>
          <w:szCs w:val="20"/>
          <w:lang w:eastAsia="en-ID"/>
        </w:rPr>
        <w:t xml:space="preserve"> and </w:t>
      </w:r>
      <w:r w:rsidRPr="00BB306F">
        <w:rPr>
          <w:rFonts w:ascii="Times New Roman" w:eastAsia="Times New Roman" w:hAnsi="Times New Roman" w:cs="Times New Roman"/>
          <w:b/>
          <w:bCs/>
          <w:sz w:val="20"/>
          <w:szCs w:val="20"/>
          <w:lang w:eastAsia="en-ID"/>
        </w:rPr>
        <w:t>Results &amp; Discussion</w:t>
      </w:r>
      <w:r w:rsidRPr="00BB306F">
        <w:rPr>
          <w:rFonts w:ascii="Times New Roman" w:eastAsia="Times New Roman" w:hAnsi="Times New Roman" w:cs="Times New Roman"/>
          <w:sz w:val="20"/>
          <w:szCs w:val="20"/>
          <w:lang w:eastAsia="en-ID"/>
        </w:rPr>
        <w:t xml:space="preserve"> sections to include a quantitative, mechanistic discussion of how seven-month precursor aging alters the chemical kinetics of the sol-gel network. Specifically, we discuss how continuous, slow ambient micro-hydrolysis and condensation:</w:t>
      </w:r>
    </w:p>
    <w:p w:rsidR="00BB306F" w:rsidRPr="00BB306F" w:rsidRDefault="00BB306F" w:rsidP="00BB306F">
      <w:pPr>
        <w:pStyle w:val="pdq2pgselectionanchorcontainer"/>
        <w:spacing w:before="0" w:beforeAutospacing="0" w:after="0" w:afterAutospacing="0" w:line="240" w:lineRule="atLeast"/>
        <w:ind w:left="720"/>
        <w:jc w:val="both"/>
        <w:rPr>
          <w:sz w:val="20"/>
          <w:szCs w:val="20"/>
        </w:rPr>
      </w:pPr>
      <m:oMathPara>
        <m:oMath>
          <m:r>
            <w:rPr>
              <w:rFonts w:ascii="Cambria Math" w:hAnsi="Cambria Math"/>
              <w:sz w:val="20"/>
              <w:szCs w:val="20"/>
            </w:rPr>
            <m:t>M-OH+HO-M→M-O-M+</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O</m:t>
          </m:r>
        </m:oMath>
      </m:oMathPara>
    </w:p>
    <w:p w:rsidR="00BB306F" w:rsidRPr="00BB306F" w:rsidRDefault="00BB306F" w:rsidP="00BB306F">
      <w:pPr>
        <w:spacing w:before="100" w:beforeAutospacing="1" w:after="100" w:afterAutospacing="1" w:line="240" w:lineRule="auto"/>
        <w:jc w:val="both"/>
        <w:rPr>
          <w:rFonts w:ascii="Times New Roman" w:eastAsia="Times New Roman" w:hAnsi="Times New Roman" w:cs="Times New Roman"/>
          <w:sz w:val="20"/>
          <w:szCs w:val="20"/>
          <w:lang w:eastAsia="en-ID"/>
        </w:rPr>
      </w:pPr>
      <w:proofErr w:type="gramStart"/>
      <w:r w:rsidRPr="00BB306F">
        <w:rPr>
          <w:rFonts w:ascii="Times New Roman" w:eastAsia="Times New Roman" w:hAnsi="Times New Roman" w:cs="Times New Roman"/>
          <w:sz w:val="20"/>
          <w:szCs w:val="20"/>
          <w:lang w:eastAsia="en-ID"/>
        </w:rPr>
        <w:lastRenderedPageBreak/>
        <w:t>progressively</w:t>
      </w:r>
      <w:proofErr w:type="gramEnd"/>
      <w:r w:rsidRPr="00BB306F">
        <w:rPr>
          <w:rFonts w:ascii="Times New Roman" w:eastAsia="Times New Roman" w:hAnsi="Times New Roman" w:cs="Times New Roman"/>
          <w:sz w:val="20"/>
          <w:szCs w:val="20"/>
          <w:lang w:eastAsia="en-ID"/>
        </w:rPr>
        <w:t xml:space="preserve"> transform short-chain precursor species into larger oligomeric/polymeric metal-oxygen-metal (</w:t>
      </w:r>
      <w:r>
        <w:rPr>
          <w:rFonts w:ascii="Times New Roman" w:eastAsia="Times New Roman" w:hAnsi="Times New Roman" w:cs="Times New Roman"/>
          <w:sz w:val="20"/>
          <w:szCs w:val="20"/>
          <w:lang w:eastAsia="en-ID"/>
        </w:rPr>
        <w:t>M-O-M</w:t>
      </w:r>
      <w:r w:rsidRPr="00BB306F">
        <w:rPr>
          <w:rFonts w:ascii="Times New Roman" w:eastAsia="Times New Roman" w:hAnsi="Times New Roman" w:cs="Times New Roman"/>
          <w:sz w:val="20"/>
          <w:szCs w:val="20"/>
          <w:lang w:eastAsia="en-ID"/>
        </w:rPr>
        <w:t>) clusters, thereby increasing solution viscosity and dynamic drag during spin coating. We correlate this viscosity evolution directly with the observed reduction in film thickness, the broadening of Urbach energy (</w:t>
      </w:r>
      <m:oMath>
        <m:sSub>
          <m:sSubPr>
            <m:ctrlPr>
              <w:rPr>
                <w:rFonts w:ascii="Cambria Math" w:eastAsia="Times New Roman" w:hAnsi="Cambria Math" w:cs="Times New Roman"/>
                <w:i/>
                <w:sz w:val="20"/>
                <w:szCs w:val="20"/>
                <w:lang w:eastAsia="en-ID"/>
              </w:rPr>
            </m:ctrlPr>
          </m:sSubPr>
          <m:e>
            <m:r>
              <w:rPr>
                <w:rFonts w:ascii="Cambria Math" w:eastAsia="Times New Roman" w:hAnsi="Cambria Math" w:cs="Times New Roman"/>
                <w:sz w:val="20"/>
                <w:szCs w:val="20"/>
                <w:lang w:eastAsia="en-ID"/>
              </w:rPr>
              <m:t>E</m:t>
            </m:r>
          </m:e>
          <m:sub>
            <m:r>
              <w:rPr>
                <w:rFonts w:ascii="Cambria Math" w:eastAsia="Times New Roman" w:hAnsi="Cambria Math" w:cs="Times New Roman"/>
                <w:sz w:val="20"/>
                <w:szCs w:val="20"/>
                <w:lang w:eastAsia="en-ID"/>
              </w:rPr>
              <m:t>U</m:t>
            </m:r>
          </m:sub>
        </m:sSub>
      </m:oMath>
      <w:r w:rsidRPr="00BB306F">
        <w:rPr>
          <w:rFonts w:ascii="Times New Roman" w:eastAsia="Times New Roman" w:hAnsi="Times New Roman" w:cs="Times New Roman"/>
          <w:sz w:val="20"/>
          <w:szCs w:val="20"/>
          <w:lang w:eastAsia="en-ID"/>
        </w:rPr>
        <w:t>), and the narrowing of the optical bandgap (</w:t>
      </w:r>
      <m:oMath>
        <m:sSub>
          <m:sSubPr>
            <m:ctrlPr>
              <w:rPr>
                <w:rFonts w:ascii="Cambria Math" w:eastAsia="Times New Roman" w:hAnsi="Cambria Math" w:cs="Times New Roman"/>
                <w:i/>
                <w:sz w:val="20"/>
                <w:szCs w:val="20"/>
                <w:lang w:eastAsia="en-ID"/>
              </w:rPr>
            </m:ctrlPr>
          </m:sSubPr>
          <m:e>
            <m:r>
              <w:rPr>
                <w:rFonts w:ascii="Cambria Math" w:eastAsia="Times New Roman" w:hAnsi="Cambria Math" w:cs="Times New Roman"/>
                <w:sz w:val="20"/>
                <w:szCs w:val="20"/>
                <w:lang w:eastAsia="en-ID"/>
              </w:rPr>
              <m:t>E</m:t>
            </m:r>
          </m:e>
          <m:sub>
            <m:r>
              <w:rPr>
                <w:rFonts w:ascii="Cambria Math" w:eastAsia="Times New Roman" w:hAnsi="Cambria Math" w:cs="Times New Roman"/>
                <w:sz w:val="20"/>
                <w:szCs w:val="20"/>
                <w:lang w:eastAsia="en-ID"/>
              </w:rPr>
              <m:t>g</m:t>
            </m:r>
          </m:sub>
        </m:sSub>
      </m:oMath>
      <w:r w:rsidRPr="00BB306F">
        <w:rPr>
          <w:rFonts w:ascii="Times New Roman" w:eastAsia="Times New Roman" w:hAnsi="Times New Roman" w:cs="Times New Roman"/>
          <w:sz w:val="20"/>
          <w:szCs w:val="20"/>
          <w:lang w:eastAsia="en-ID"/>
        </w:rPr>
        <w:t>).</w:t>
      </w:r>
    </w:p>
    <w:p w:rsidR="00BB306F" w:rsidRPr="00BB306F" w:rsidRDefault="00BB306F" w:rsidP="00BB306F">
      <w:pPr>
        <w:spacing w:beforeAutospacing="1" w:after="100" w:afterAutospacing="1" w:line="240" w:lineRule="auto"/>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b/>
          <w:bCs/>
          <w:sz w:val="20"/>
          <w:szCs w:val="20"/>
          <w:lang w:eastAsia="en-ID"/>
        </w:rPr>
        <w:t>Comment 2 &amp; 3:</w:t>
      </w:r>
      <w:r w:rsidRPr="00BB306F">
        <w:rPr>
          <w:rFonts w:ascii="Times New Roman" w:eastAsia="Times New Roman" w:hAnsi="Times New Roman" w:cs="Times New Roman"/>
          <w:sz w:val="20"/>
          <w:szCs w:val="20"/>
          <w:lang w:eastAsia="en-ID"/>
        </w:rPr>
        <w:t xml:space="preserve"> </w:t>
      </w:r>
      <w:r w:rsidRPr="00BB306F">
        <w:rPr>
          <w:rFonts w:ascii="Times New Roman" w:eastAsia="Times New Roman" w:hAnsi="Times New Roman" w:cs="Times New Roman"/>
          <w:i/>
          <w:iCs/>
          <w:sz w:val="20"/>
          <w:szCs w:val="20"/>
          <w:lang w:eastAsia="en-ID"/>
        </w:rPr>
        <w:t>The manuscript is understandable but contains several grammatical issues, awkward sentence structures, and inconsistent technical expressions. Careful language editing is recommended to improve readability and ensure professional scientific communication.</w:t>
      </w:r>
    </w:p>
    <w:p w:rsidR="00BB306F" w:rsidRPr="00BB306F" w:rsidRDefault="00BB306F" w:rsidP="00BB306F">
      <w:pPr>
        <w:numPr>
          <w:ilvl w:val="0"/>
          <w:numId w:val="2"/>
        </w:numPr>
        <w:tabs>
          <w:tab w:val="clear" w:pos="720"/>
        </w:tabs>
        <w:spacing w:before="100" w:beforeAutospacing="1" w:after="100" w:afterAutospacing="1" w:line="240" w:lineRule="auto"/>
        <w:ind w:left="426"/>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b/>
          <w:bCs/>
          <w:sz w:val="20"/>
          <w:szCs w:val="20"/>
          <w:lang w:eastAsia="en-ID"/>
        </w:rPr>
        <w:t>Response:</w:t>
      </w:r>
    </w:p>
    <w:p w:rsidR="00BB306F" w:rsidRPr="00BB306F" w:rsidRDefault="00BB306F" w:rsidP="00BB306F">
      <w:pPr>
        <w:spacing w:before="100" w:beforeAutospacing="1" w:after="100" w:afterAutospacing="1" w:line="240" w:lineRule="auto"/>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sz w:val="20"/>
          <w:szCs w:val="20"/>
          <w:lang w:eastAsia="en-ID"/>
        </w:rPr>
        <w:t>We appreciate the feedback. The manuscript has undergone a comprehensive English language revision and proofreading. Structural ambiguities, awkward phrasing (e.g., in the abstract and results section), and formatting inconsistencies (e.g., mixing of commas and decimal points) have been systematically corrected to adhere to standard international scientific publishing standards.</w:t>
      </w:r>
    </w:p>
    <w:p w:rsidR="00BB306F" w:rsidRPr="00BB306F" w:rsidRDefault="00BB306F" w:rsidP="00BB306F">
      <w:pPr>
        <w:spacing w:before="100" w:beforeAutospacing="1" w:after="100" w:afterAutospacing="1" w:line="240" w:lineRule="auto"/>
        <w:jc w:val="both"/>
        <w:outlineLvl w:val="2"/>
        <w:rPr>
          <w:rFonts w:ascii="Times New Roman" w:eastAsia="Times New Roman" w:hAnsi="Times New Roman" w:cs="Times New Roman"/>
          <w:b/>
          <w:bCs/>
          <w:sz w:val="20"/>
          <w:szCs w:val="20"/>
          <w:lang w:eastAsia="en-ID"/>
        </w:rPr>
      </w:pPr>
      <w:r w:rsidRPr="00BB306F">
        <w:rPr>
          <w:rFonts w:ascii="Times New Roman" w:eastAsia="Times New Roman" w:hAnsi="Times New Roman" w:cs="Times New Roman"/>
          <w:b/>
          <w:bCs/>
          <w:sz w:val="20"/>
          <w:szCs w:val="20"/>
          <w:lang w:eastAsia="en-ID"/>
        </w:rPr>
        <w:t>Point-by-Point Response to Reviewer #2</w:t>
      </w:r>
    </w:p>
    <w:p w:rsidR="00BB306F" w:rsidRPr="00BB306F" w:rsidRDefault="00BB306F" w:rsidP="00BB306F">
      <w:pPr>
        <w:spacing w:beforeAutospacing="1" w:after="100" w:afterAutospacing="1" w:line="240" w:lineRule="auto"/>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b/>
          <w:bCs/>
          <w:sz w:val="20"/>
          <w:szCs w:val="20"/>
          <w:lang w:eastAsia="en-ID"/>
        </w:rPr>
        <w:t>Comment 1:</w:t>
      </w:r>
      <w:r w:rsidRPr="00BB306F">
        <w:rPr>
          <w:rFonts w:ascii="Times New Roman" w:eastAsia="Times New Roman" w:hAnsi="Times New Roman" w:cs="Times New Roman"/>
          <w:sz w:val="20"/>
          <w:szCs w:val="20"/>
          <w:lang w:eastAsia="en-ID"/>
        </w:rPr>
        <w:t xml:space="preserve"> </w:t>
      </w:r>
      <w:r w:rsidRPr="00BB306F">
        <w:rPr>
          <w:rFonts w:ascii="Times New Roman" w:eastAsia="Times New Roman" w:hAnsi="Times New Roman" w:cs="Times New Roman"/>
          <w:i/>
          <w:iCs/>
          <w:sz w:val="20"/>
          <w:szCs w:val="20"/>
          <w:lang w:eastAsia="en-ID"/>
        </w:rPr>
        <w:t>Table 1 lists thickness in Angstroms alongside nanometers, seems redundancy, choose 1, unless the present of both units is justifiable. Also, line 2, 122.08 was wrongly read as 12.28 nm. Correct it.</w:t>
      </w:r>
    </w:p>
    <w:p w:rsidR="00BB306F" w:rsidRPr="00BB306F" w:rsidRDefault="00BB306F" w:rsidP="00BB306F">
      <w:pPr>
        <w:numPr>
          <w:ilvl w:val="0"/>
          <w:numId w:val="3"/>
        </w:numPr>
        <w:tabs>
          <w:tab w:val="clear" w:pos="720"/>
        </w:tabs>
        <w:spacing w:before="100" w:beforeAutospacing="1" w:after="100" w:afterAutospacing="1" w:line="240" w:lineRule="auto"/>
        <w:ind w:left="426"/>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b/>
          <w:bCs/>
          <w:sz w:val="20"/>
          <w:szCs w:val="20"/>
          <w:lang w:eastAsia="en-ID"/>
        </w:rPr>
        <w:t>Response:</w:t>
      </w:r>
    </w:p>
    <w:p w:rsidR="00BB306F" w:rsidRPr="00BB306F" w:rsidRDefault="00BB306F" w:rsidP="00BB306F">
      <w:pPr>
        <w:spacing w:before="100" w:beforeAutospacing="1" w:after="100" w:afterAutospacing="1" w:line="240" w:lineRule="auto"/>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sz w:val="20"/>
          <w:szCs w:val="20"/>
          <w:lang w:eastAsia="en-ID"/>
        </w:rPr>
        <w:t>We agree with the reviewer. The redundant Ångström column in Table 1 has been removed, and all thickness values are now presented strictly in nanometers (</w:t>
      </w:r>
      <w:r>
        <w:rPr>
          <w:rFonts w:ascii="Times New Roman" w:eastAsia="Times New Roman" w:hAnsi="Times New Roman" w:cs="Times New Roman"/>
          <w:sz w:val="20"/>
          <w:szCs w:val="20"/>
          <w:lang w:eastAsia="en-ID"/>
        </w:rPr>
        <w:t>nm</w:t>
      </w:r>
      <w:r w:rsidRPr="00BB306F">
        <w:rPr>
          <w:rFonts w:ascii="Times New Roman" w:eastAsia="Times New Roman" w:hAnsi="Times New Roman" w:cs="Times New Roman"/>
          <w:sz w:val="20"/>
          <w:szCs w:val="20"/>
          <w:lang w:eastAsia="en-ID"/>
        </w:rPr>
        <w:t>). Furthermore, the typographical error in row 2 of Table 1 has been corrected from 12.28 nm to 122.08 nm (corresponding to 1220.8 Å).</w:t>
      </w:r>
    </w:p>
    <w:p w:rsidR="00BB306F" w:rsidRPr="00BB306F" w:rsidRDefault="00BB306F" w:rsidP="00BB306F">
      <w:pPr>
        <w:spacing w:beforeAutospacing="1" w:after="100" w:afterAutospacing="1" w:line="240" w:lineRule="auto"/>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b/>
          <w:bCs/>
          <w:sz w:val="20"/>
          <w:szCs w:val="20"/>
          <w:lang w:eastAsia="en-ID"/>
        </w:rPr>
        <w:t>Comment 2:</w:t>
      </w:r>
      <w:r w:rsidRPr="00BB306F">
        <w:rPr>
          <w:rFonts w:ascii="Times New Roman" w:eastAsia="Times New Roman" w:hAnsi="Times New Roman" w:cs="Times New Roman"/>
          <w:sz w:val="20"/>
          <w:szCs w:val="20"/>
          <w:lang w:eastAsia="en-ID"/>
        </w:rPr>
        <w:t xml:space="preserve"> </w:t>
      </w:r>
      <w:r w:rsidRPr="00BB306F">
        <w:rPr>
          <w:rFonts w:ascii="Times New Roman" w:eastAsia="Times New Roman" w:hAnsi="Times New Roman" w:cs="Times New Roman"/>
          <w:i/>
          <w:iCs/>
          <w:sz w:val="20"/>
          <w:szCs w:val="20"/>
          <w:lang w:eastAsia="en-ID"/>
        </w:rPr>
        <w:t xml:space="preserve">What ambient conditions (temperature, light exposure, humidity, </w:t>
      </w:r>
      <w:proofErr w:type="gramStart"/>
      <w:r w:rsidRPr="00BB306F">
        <w:rPr>
          <w:rFonts w:ascii="Times New Roman" w:eastAsia="Times New Roman" w:hAnsi="Times New Roman" w:cs="Times New Roman"/>
          <w:i/>
          <w:iCs/>
          <w:sz w:val="20"/>
          <w:szCs w:val="20"/>
          <w:lang w:eastAsia="en-ID"/>
        </w:rPr>
        <w:t>seal</w:t>
      </w:r>
      <w:proofErr w:type="gramEnd"/>
      <w:r w:rsidRPr="00BB306F">
        <w:rPr>
          <w:rFonts w:ascii="Times New Roman" w:eastAsia="Times New Roman" w:hAnsi="Times New Roman" w:cs="Times New Roman"/>
          <w:i/>
          <w:iCs/>
          <w:sz w:val="20"/>
          <w:szCs w:val="20"/>
          <w:lang w:eastAsia="en-ID"/>
        </w:rPr>
        <w:t xml:space="preserve"> type) were maintained during the seven-month precursor aging period to ensure controlled evolution?</w:t>
      </w:r>
    </w:p>
    <w:p w:rsidR="00BB306F" w:rsidRPr="00BB306F" w:rsidRDefault="00BB306F" w:rsidP="00BB306F">
      <w:pPr>
        <w:numPr>
          <w:ilvl w:val="0"/>
          <w:numId w:val="4"/>
        </w:numPr>
        <w:tabs>
          <w:tab w:val="clear" w:pos="720"/>
        </w:tabs>
        <w:spacing w:before="100" w:beforeAutospacing="1" w:after="100" w:afterAutospacing="1" w:line="240" w:lineRule="auto"/>
        <w:ind w:left="426"/>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b/>
          <w:bCs/>
          <w:sz w:val="20"/>
          <w:szCs w:val="20"/>
          <w:lang w:eastAsia="en-ID"/>
        </w:rPr>
        <w:t>Response:</w:t>
      </w:r>
    </w:p>
    <w:p w:rsidR="00BB306F" w:rsidRPr="00BB306F" w:rsidRDefault="00BB306F" w:rsidP="00BB306F">
      <w:pPr>
        <w:spacing w:after="0" w:line="240" w:lineRule="auto"/>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sz w:val="20"/>
          <w:szCs w:val="20"/>
          <w:lang w:eastAsia="en-ID"/>
        </w:rPr>
        <w:t xml:space="preserve">We have now explicitly detailed these controlled ambient conditions in the Methods section. The 0.5 M precursor solution was stored </w:t>
      </w:r>
      <w:r w:rsidRPr="00BB306F">
        <w:rPr>
          <w:rFonts w:ascii="Times New Roman" w:eastAsia="Times New Roman" w:hAnsi="Times New Roman" w:cs="Times New Roman"/>
          <w:bCs/>
          <w:sz w:val="20"/>
          <w:szCs w:val="20"/>
          <w:lang w:eastAsia="en-ID"/>
        </w:rPr>
        <w:t>in a desiccator at a controlled temperature of 30.3</w:t>
      </w:r>
      <m:oMath>
        <m:r>
          <w:rPr>
            <w:rFonts w:ascii="Cambria Math" w:eastAsia="Times New Roman" w:hAnsi="Cambria Math" w:cs="Times New Roman"/>
            <w:sz w:val="20"/>
            <w:szCs w:val="20"/>
            <w:lang w:eastAsia="en-ID"/>
          </w:rPr>
          <m:t xml:space="preserve">℃, </m:t>
        </m:r>
      </m:oMath>
      <w:r w:rsidRPr="00BB306F">
        <w:rPr>
          <w:rFonts w:ascii="Times New Roman" w:eastAsia="Times New Roman" w:hAnsi="Times New Roman" w:cs="Times New Roman"/>
          <w:bCs/>
          <w:sz w:val="20"/>
          <w:szCs w:val="20"/>
          <w:lang w:eastAsia="en-ID"/>
        </w:rPr>
        <w:t xml:space="preserve">a relative humidity of approximately </w:t>
      </w:r>
      <w:r>
        <w:rPr>
          <w:rFonts w:ascii="Times New Roman" w:eastAsia="Times New Roman" w:hAnsi="Times New Roman" w:cs="Times New Roman"/>
          <w:bCs/>
          <w:sz w:val="20"/>
          <w:szCs w:val="20"/>
          <w:lang w:eastAsia="en-ID"/>
        </w:rPr>
        <w:t>30</w:t>
      </w:r>
      <w:r w:rsidRPr="00BB306F">
        <w:rPr>
          <w:rFonts w:ascii="Times New Roman" w:eastAsia="Times New Roman" w:hAnsi="Times New Roman" w:cs="Times New Roman"/>
          <w:bCs/>
          <w:sz w:val="20"/>
          <w:szCs w:val="20"/>
          <w:lang w:eastAsia="en-ID"/>
        </w:rPr>
        <w:t>%</w:t>
      </w:r>
      <w:r>
        <w:rPr>
          <w:rFonts w:ascii="Times New Roman" w:eastAsia="Times New Roman" w:hAnsi="Times New Roman" w:cs="Times New Roman"/>
          <w:bCs/>
          <w:sz w:val="20"/>
          <w:szCs w:val="20"/>
          <w:lang w:eastAsia="en-ID"/>
        </w:rPr>
        <w:t xml:space="preserve"> RH</w:t>
      </w:r>
      <w:r w:rsidRPr="00BB306F">
        <w:rPr>
          <w:rFonts w:ascii="Times New Roman" w:eastAsia="Times New Roman" w:hAnsi="Times New Roman" w:cs="Times New Roman"/>
          <w:bCs/>
          <w:sz w:val="20"/>
          <w:szCs w:val="20"/>
          <w:lang w:eastAsia="en-ID"/>
        </w:rPr>
        <w:t>, and an ambient illumination level of 225</w:t>
      </w:r>
      <w:r>
        <w:rPr>
          <w:rFonts w:ascii="Times New Roman" w:eastAsia="Times New Roman" w:hAnsi="Times New Roman" w:cs="Times New Roman"/>
          <w:bCs/>
          <w:sz w:val="20"/>
          <w:szCs w:val="20"/>
          <w:lang w:eastAsia="en-ID"/>
        </w:rPr>
        <w:t xml:space="preserve"> lux </w:t>
      </w:r>
      <w:r w:rsidRPr="00BB306F">
        <w:rPr>
          <w:rFonts w:ascii="Times New Roman" w:eastAsia="Times New Roman" w:hAnsi="Times New Roman" w:cs="Times New Roman"/>
          <w:bCs/>
          <w:sz w:val="20"/>
          <w:szCs w:val="20"/>
          <w:lang w:eastAsia="en-ID"/>
        </w:rPr>
        <w:t>measured using a lux meter</w:t>
      </w:r>
      <w:r w:rsidRPr="00BB306F">
        <w:rPr>
          <w:rFonts w:ascii="Times New Roman" w:eastAsia="Times New Roman" w:hAnsi="Times New Roman" w:cs="Times New Roman"/>
          <w:sz w:val="20"/>
          <w:szCs w:val="20"/>
          <w:lang w:eastAsia="en-ID"/>
        </w:rPr>
        <w:t xml:space="preserve">, to </w:t>
      </w:r>
      <w:r w:rsidRPr="00BB306F">
        <w:rPr>
          <w:rFonts w:ascii="Times New Roman" w:eastAsia="Times New Roman" w:hAnsi="Times New Roman" w:cs="Times New Roman"/>
          <w:bCs/>
          <w:sz w:val="20"/>
          <w:szCs w:val="20"/>
          <w:lang w:eastAsia="en-ID"/>
        </w:rPr>
        <w:t>prevent uncontrolled moisture absorption and maintain stable aging dynamics</w:t>
      </w:r>
      <w:r w:rsidRPr="00BB306F">
        <w:rPr>
          <w:rFonts w:ascii="Times New Roman" w:eastAsia="Times New Roman" w:hAnsi="Times New Roman" w:cs="Times New Roman"/>
          <w:sz w:val="20"/>
          <w:szCs w:val="20"/>
          <w:lang w:eastAsia="en-ID"/>
        </w:rPr>
        <w:t xml:space="preserve"> over the 7-month period</w:t>
      </w:r>
    </w:p>
    <w:p w:rsidR="00BB306F" w:rsidRDefault="00BB306F" w:rsidP="00BB306F">
      <w:pPr>
        <w:spacing w:beforeAutospacing="1" w:after="100" w:afterAutospacing="1" w:line="240" w:lineRule="auto"/>
        <w:jc w:val="both"/>
        <w:rPr>
          <w:rFonts w:ascii="Times New Roman" w:eastAsia="Times New Roman" w:hAnsi="Times New Roman" w:cs="Times New Roman"/>
          <w:sz w:val="20"/>
          <w:szCs w:val="20"/>
          <w:lang w:eastAsia="en-ID"/>
        </w:rPr>
      </w:pPr>
    </w:p>
    <w:p w:rsidR="00BB306F" w:rsidRPr="00BB306F" w:rsidRDefault="00BB306F" w:rsidP="00BB306F">
      <w:pPr>
        <w:spacing w:beforeAutospacing="1" w:after="100" w:afterAutospacing="1" w:line="240" w:lineRule="auto"/>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b/>
          <w:bCs/>
          <w:sz w:val="20"/>
          <w:szCs w:val="20"/>
          <w:lang w:eastAsia="en-ID"/>
        </w:rPr>
        <w:t>Comment 3:</w:t>
      </w:r>
      <w:r w:rsidRPr="00BB306F">
        <w:rPr>
          <w:rFonts w:ascii="Times New Roman" w:eastAsia="Times New Roman" w:hAnsi="Times New Roman" w:cs="Times New Roman"/>
          <w:sz w:val="20"/>
          <w:szCs w:val="20"/>
          <w:lang w:eastAsia="en-ID"/>
        </w:rPr>
        <w:t xml:space="preserve"> </w:t>
      </w:r>
      <w:r w:rsidRPr="00BB306F">
        <w:rPr>
          <w:rFonts w:ascii="Times New Roman" w:eastAsia="Times New Roman" w:hAnsi="Times New Roman" w:cs="Times New Roman"/>
          <w:i/>
          <w:iCs/>
          <w:sz w:val="20"/>
          <w:szCs w:val="20"/>
          <w:lang w:eastAsia="en-ID"/>
        </w:rPr>
        <w:t>Did the precursor solution exhibit macroscopic changes during storage, such as precipitation, color shift, or gelation, and was any pre-filtration applied prior to spin coating?</w:t>
      </w:r>
    </w:p>
    <w:p w:rsidR="00BB306F" w:rsidRPr="00BB306F" w:rsidRDefault="00BB306F" w:rsidP="00BB306F">
      <w:pPr>
        <w:numPr>
          <w:ilvl w:val="0"/>
          <w:numId w:val="5"/>
        </w:numPr>
        <w:tabs>
          <w:tab w:val="clear" w:pos="720"/>
        </w:tabs>
        <w:spacing w:before="100" w:beforeAutospacing="1" w:after="100" w:afterAutospacing="1" w:line="240" w:lineRule="auto"/>
        <w:ind w:left="426"/>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b/>
          <w:bCs/>
          <w:sz w:val="20"/>
          <w:szCs w:val="20"/>
          <w:lang w:eastAsia="en-ID"/>
        </w:rPr>
        <w:t>Response:</w:t>
      </w:r>
    </w:p>
    <w:p w:rsidR="00BB306F" w:rsidRPr="00BB306F" w:rsidRDefault="00BB306F" w:rsidP="00BB306F">
      <w:pPr>
        <w:spacing w:before="100" w:beforeAutospacing="1" w:after="100" w:afterAutospacing="1" w:line="240" w:lineRule="auto"/>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sz w:val="20"/>
          <w:szCs w:val="20"/>
          <w:lang w:eastAsia="en-ID"/>
        </w:rPr>
        <w:t xml:space="preserve">We have added these details to the </w:t>
      </w:r>
      <w:r w:rsidRPr="00BB306F">
        <w:rPr>
          <w:rFonts w:ascii="Times New Roman" w:eastAsia="Times New Roman" w:hAnsi="Times New Roman" w:cs="Times New Roman"/>
          <w:b/>
          <w:bCs/>
          <w:sz w:val="20"/>
          <w:szCs w:val="20"/>
          <w:lang w:eastAsia="en-ID"/>
        </w:rPr>
        <w:t>Methods</w:t>
      </w:r>
      <w:r w:rsidRPr="00BB306F">
        <w:rPr>
          <w:rFonts w:ascii="Times New Roman" w:eastAsia="Times New Roman" w:hAnsi="Times New Roman" w:cs="Times New Roman"/>
          <w:sz w:val="20"/>
          <w:szCs w:val="20"/>
          <w:lang w:eastAsia="en-ID"/>
        </w:rPr>
        <w:t xml:space="preserve"> section. No macroscopic gelation, precipitation, or color shift was observed during the 7-month aging period. However, a slight increase in dynamic viscosity was noted due to slow oligomerization. To ensure film uniformity and remove any potential microscopic particulates, the aged precursor solution was filtered through a 0.22</w:t>
      </w:r>
      <w:r>
        <w:rPr>
          <w:rFonts w:ascii="Times New Roman" w:eastAsia="Times New Roman" w:hAnsi="Times New Roman" w:cs="Times New Roman"/>
          <w:sz w:val="20"/>
          <w:szCs w:val="20"/>
          <w:lang w:eastAsia="en-ID"/>
        </w:rPr>
        <w:t xml:space="preserve"> </w:t>
      </w:r>
      <m:oMath>
        <m:r>
          <w:rPr>
            <w:rFonts w:ascii="Cambria Math" w:eastAsia="Times New Roman" w:hAnsi="Cambria Math" w:cs="Times New Roman"/>
            <w:sz w:val="20"/>
            <w:szCs w:val="20"/>
            <w:lang w:eastAsia="en-ID"/>
          </w:rPr>
          <m:t>μm</m:t>
        </m:r>
      </m:oMath>
      <w:r>
        <w:rPr>
          <w:rFonts w:ascii="Times New Roman" w:eastAsia="Times New Roman" w:hAnsi="Times New Roman" w:cs="Times New Roman"/>
          <w:sz w:val="20"/>
          <w:szCs w:val="20"/>
          <w:lang w:eastAsia="en-ID"/>
        </w:rPr>
        <w:t xml:space="preserve"> </w:t>
      </w:r>
      <w:r w:rsidRPr="00BB306F">
        <w:rPr>
          <w:rFonts w:ascii="Times New Roman" w:eastAsia="Times New Roman" w:hAnsi="Times New Roman" w:cs="Times New Roman"/>
          <w:sz w:val="20"/>
          <w:szCs w:val="20"/>
          <w:lang w:eastAsia="en-ID"/>
        </w:rPr>
        <w:t>PTFE syringe filter immediately prior to spin coating.</w:t>
      </w:r>
    </w:p>
    <w:p w:rsidR="00BB306F" w:rsidRPr="00BB306F" w:rsidRDefault="00BB306F" w:rsidP="00BB306F">
      <w:pPr>
        <w:spacing w:beforeAutospacing="1" w:after="100" w:afterAutospacing="1" w:line="240" w:lineRule="auto"/>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b/>
          <w:bCs/>
          <w:sz w:val="20"/>
          <w:szCs w:val="20"/>
          <w:lang w:eastAsia="en-ID"/>
        </w:rPr>
        <w:t>Comment 4:</w:t>
      </w:r>
      <w:r w:rsidRPr="00BB306F">
        <w:rPr>
          <w:rFonts w:ascii="Times New Roman" w:eastAsia="Times New Roman" w:hAnsi="Times New Roman" w:cs="Times New Roman"/>
          <w:sz w:val="20"/>
          <w:szCs w:val="20"/>
          <w:lang w:eastAsia="en-ID"/>
        </w:rPr>
        <w:t xml:space="preserve"> </w:t>
      </w:r>
      <w:r w:rsidRPr="00BB306F">
        <w:rPr>
          <w:rFonts w:ascii="Times New Roman" w:eastAsia="Times New Roman" w:hAnsi="Times New Roman" w:cs="Times New Roman"/>
          <w:i/>
          <w:iCs/>
          <w:sz w:val="20"/>
          <w:szCs w:val="20"/>
          <w:lang w:eastAsia="en-ID"/>
        </w:rPr>
        <w:t>How was the UV-Vis light absorption of the underlying Si substrate accounted for during optical characterization, given that Si absorbs strongly across the UV-visible range?</w:t>
      </w:r>
    </w:p>
    <w:p w:rsidR="00BB306F" w:rsidRPr="00BB306F" w:rsidRDefault="00BB306F" w:rsidP="00BB306F">
      <w:pPr>
        <w:numPr>
          <w:ilvl w:val="0"/>
          <w:numId w:val="6"/>
        </w:numPr>
        <w:tabs>
          <w:tab w:val="clear" w:pos="720"/>
        </w:tabs>
        <w:spacing w:before="100" w:beforeAutospacing="1" w:after="100" w:afterAutospacing="1" w:line="240" w:lineRule="auto"/>
        <w:ind w:left="426"/>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b/>
          <w:bCs/>
          <w:sz w:val="20"/>
          <w:szCs w:val="20"/>
          <w:lang w:eastAsia="en-ID"/>
        </w:rPr>
        <w:t>Response:</w:t>
      </w:r>
    </w:p>
    <w:p w:rsidR="00BB306F" w:rsidRPr="00BB306F" w:rsidRDefault="00BB306F" w:rsidP="00BB306F">
      <w:pPr>
        <w:spacing w:before="100" w:beforeAutospacing="1" w:after="100" w:afterAutospacing="1" w:line="240" w:lineRule="auto"/>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sz w:val="20"/>
          <w:szCs w:val="20"/>
          <w:lang w:eastAsia="en-ID"/>
        </w:rPr>
        <w:t xml:space="preserve">We have clarified the baseline correction protocol in the </w:t>
      </w:r>
      <w:r w:rsidRPr="00BB306F">
        <w:rPr>
          <w:rFonts w:ascii="Times New Roman" w:eastAsia="Times New Roman" w:hAnsi="Times New Roman" w:cs="Times New Roman"/>
          <w:b/>
          <w:bCs/>
          <w:sz w:val="20"/>
          <w:szCs w:val="20"/>
          <w:lang w:eastAsia="en-ID"/>
        </w:rPr>
        <w:t>Methods</w:t>
      </w:r>
      <w:r w:rsidRPr="00BB306F">
        <w:rPr>
          <w:rFonts w:ascii="Times New Roman" w:eastAsia="Times New Roman" w:hAnsi="Times New Roman" w:cs="Times New Roman"/>
          <w:sz w:val="20"/>
          <w:szCs w:val="20"/>
          <w:lang w:eastAsia="en-ID"/>
        </w:rPr>
        <w:t xml:space="preserve"> section. For UV-Vis spectroscopic measurements of films deposited on opaque p-type Si (100) substrates, specular reflectance mode was utilized, and a bare, pristine p-type Si (100) substrate subjected to the same cleaning procedure was used as the reference baseline. This ensured that substrate absorption and reflection contributions were properly subtracted prior to calculating the absorption coefficient (</w:t>
      </w:r>
      <m:oMath>
        <m:r>
          <w:rPr>
            <w:rFonts w:ascii="Cambria Math" w:eastAsia="Times New Roman" w:hAnsi="Cambria Math" w:cs="Times New Roman"/>
            <w:sz w:val="20"/>
            <w:szCs w:val="20"/>
            <w:lang w:eastAsia="en-ID"/>
          </w:rPr>
          <m:t>a</m:t>
        </m:r>
      </m:oMath>
      <w:r w:rsidRPr="00BB306F">
        <w:rPr>
          <w:rFonts w:ascii="Times New Roman" w:eastAsia="Times New Roman" w:hAnsi="Times New Roman" w:cs="Times New Roman"/>
          <w:sz w:val="20"/>
          <w:szCs w:val="20"/>
          <w:lang w:eastAsia="en-ID"/>
        </w:rPr>
        <w:t>).</w:t>
      </w:r>
    </w:p>
    <w:p w:rsidR="00BB306F" w:rsidRPr="00BB306F" w:rsidRDefault="00BB306F" w:rsidP="00BB306F">
      <w:pPr>
        <w:spacing w:beforeAutospacing="1" w:after="100" w:afterAutospacing="1" w:line="240" w:lineRule="auto"/>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b/>
          <w:bCs/>
          <w:sz w:val="20"/>
          <w:szCs w:val="20"/>
          <w:lang w:eastAsia="en-ID"/>
        </w:rPr>
        <w:t>Comment 5:</w:t>
      </w:r>
      <w:r w:rsidRPr="00BB306F">
        <w:rPr>
          <w:rFonts w:ascii="Times New Roman" w:eastAsia="Times New Roman" w:hAnsi="Times New Roman" w:cs="Times New Roman"/>
          <w:sz w:val="20"/>
          <w:szCs w:val="20"/>
          <w:lang w:eastAsia="en-ID"/>
        </w:rPr>
        <w:t xml:space="preserve"> </w:t>
      </w:r>
      <w:r w:rsidRPr="00BB306F">
        <w:rPr>
          <w:rFonts w:ascii="Times New Roman" w:eastAsia="Times New Roman" w:hAnsi="Times New Roman" w:cs="Times New Roman"/>
          <w:i/>
          <w:iCs/>
          <w:sz w:val="20"/>
          <w:szCs w:val="20"/>
          <w:lang w:eastAsia="en-ID"/>
        </w:rPr>
        <w:t>Could the authors provide FESEM or AFM micrographs to verify how seven months of aging impacted film surface roughness, porosity, and grain boundaries? This is optional, unless available to include in the text.</w:t>
      </w:r>
    </w:p>
    <w:p w:rsidR="00BB306F" w:rsidRPr="00BB306F" w:rsidRDefault="00BB306F" w:rsidP="00BB306F">
      <w:pPr>
        <w:numPr>
          <w:ilvl w:val="0"/>
          <w:numId w:val="7"/>
        </w:numPr>
        <w:tabs>
          <w:tab w:val="clear" w:pos="720"/>
        </w:tabs>
        <w:spacing w:before="100" w:beforeAutospacing="1" w:after="100" w:afterAutospacing="1" w:line="240" w:lineRule="auto"/>
        <w:ind w:left="426"/>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b/>
          <w:bCs/>
          <w:sz w:val="20"/>
          <w:szCs w:val="20"/>
          <w:lang w:eastAsia="en-ID"/>
        </w:rPr>
        <w:t>Response:</w:t>
      </w:r>
    </w:p>
    <w:p w:rsidR="00BB306F" w:rsidRPr="00BB306F" w:rsidRDefault="00BB306F" w:rsidP="00BB306F">
      <w:pPr>
        <w:spacing w:before="100" w:beforeAutospacing="1" w:after="100" w:afterAutospacing="1" w:line="240" w:lineRule="auto"/>
        <w:jc w:val="both"/>
        <w:rPr>
          <w:rFonts w:ascii="Times New Roman" w:eastAsia="Times New Roman" w:hAnsi="Times New Roman" w:cs="Times New Roman"/>
          <w:sz w:val="20"/>
          <w:szCs w:val="20"/>
          <w:lang w:eastAsia="en-ID"/>
        </w:rPr>
      </w:pPr>
      <w:r w:rsidRPr="00BB306F">
        <w:rPr>
          <w:rFonts w:ascii="Times New Roman" w:eastAsia="Times New Roman" w:hAnsi="Times New Roman" w:cs="Times New Roman"/>
          <w:sz w:val="20"/>
          <w:szCs w:val="20"/>
          <w:lang w:eastAsia="en-ID"/>
        </w:rPr>
        <w:t xml:space="preserve">We thank the reviewer for this constructive suggestion. Because FESEM/AFM surface topographies were not collected during the initial experimental run and instrument availability is constrained, we have expanded our physical and structural interpretation in the text. We connect the observed Urbach energy </w:t>
      </w:r>
      <w:r>
        <w:rPr>
          <w:rFonts w:ascii="Times New Roman" w:eastAsia="Times New Roman" w:hAnsi="Times New Roman" w:cs="Times New Roman"/>
          <w:sz w:val="20"/>
          <w:szCs w:val="20"/>
          <w:lang w:eastAsia="en-ID"/>
        </w:rPr>
        <w:t xml:space="preserve">increase </w:t>
      </w:r>
      <w:r w:rsidR="00694412">
        <w:rPr>
          <w:rFonts w:ascii="Times New Roman" w:eastAsia="Times New Roman" w:hAnsi="Times New Roman" w:cs="Times New Roman"/>
          <w:sz w:val="20"/>
          <w:szCs w:val="20"/>
          <w:lang w:eastAsia="en-ID"/>
        </w:rPr>
        <w:t xml:space="preserve">(0.13 eV </w:t>
      </w:r>
      <m:oMath>
        <m:r>
          <w:rPr>
            <w:rFonts w:ascii="Cambria Math" w:eastAsia="Times New Roman" w:hAnsi="Cambria Math" w:cs="Times New Roman"/>
            <w:sz w:val="20"/>
            <w:szCs w:val="20"/>
            <w:lang w:eastAsia="en-ID"/>
          </w:rPr>
          <m:t>→</m:t>
        </m:r>
      </m:oMath>
      <w:r w:rsidRPr="00BB306F">
        <w:rPr>
          <w:rFonts w:ascii="Times New Roman" w:eastAsia="Times New Roman" w:hAnsi="Times New Roman" w:cs="Times New Roman"/>
          <w:sz w:val="20"/>
          <w:szCs w:val="20"/>
          <w:lang w:eastAsia="en-ID"/>
        </w:rPr>
        <w:t xml:space="preserve"> 0.66</w:t>
      </w:r>
      <w:r w:rsidR="00694412">
        <w:rPr>
          <w:rFonts w:ascii="Times New Roman" w:eastAsia="Times New Roman" w:hAnsi="Times New Roman" w:cs="Times New Roman"/>
          <w:sz w:val="20"/>
          <w:szCs w:val="20"/>
          <w:lang w:eastAsia="en-ID"/>
        </w:rPr>
        <w:t xml:space="preserve"> eV</w:t>
      </w:r>
      <w:r w:rsidRPr="00BB306F">
        <w:rPr>
          <w:rFonts w:ascii="Times New Roman" w:eastAsia="Times New Roman" w:hAnsi="Times New Roman" w:cs="Times New Roman"/>
          <w:sz w:val="20"/>
          <w:szCs w:val="20"/>
          <w:lang w:eastAsia="en-ID"/>
        </w:rPr>
        <w:t>) and lattice parameter shift to microstructural manifestations such as grain-boundary defect states, local stress variations, and potential microscopic porosity shifts induced by aging and Ru substitution.</w:t>
      </w:r>
    </w:p>
    <w:p w:rsidR="00B73247" w:rsidRPr="00BB306F" w:rsidRDefault="00B73247" w:rsidP="00BB306F">
      <w:pPr>
        <w:jc w:val="both"/>
        <w:rPr>
          <w:rFonts w:ascii="Times New Roman" w:hAnsi="Times New Roman" w:cs="Times New Roman"/>
          <w:sz w:val="20"/>
          <w:szCs w:val="20"/>
        </w:rPr>
      </w:pPr>
      <w:bookmarkStart w:id="0" w:name="_GoBack"/>
      <w:bookmarkEnd w:id="0"/>
    </w:p>
    <w:sectPr w:rsidR="00B73247" w:rsidRPr="00BB306F" w:rsidSect="00BB306F">
      <w:pgSz w:w="11906" w:h="16838"/>
      <w:pgMar w:top="2948" w:right="2495" w:bottom="2948" w:left="249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9D6678"/>
    <w:multiLevelType w:val="multilevel"/>
    <w:tmpl w:val="B890E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8B0CD2"/>
    <w:multiLevelType w:val="multilevel"/>
    <w:tmpl w:val="2A9AD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3C42E3"/>
    <w:multiLevelType w:val="multilevel"/>
    <w:tmpl w:val="83FA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5F29E5"/>
    <w:multiLevelType w:val="multilevel"/>
    <w:tmpl w:val="C1A67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921151"/>
    <w:multiLevelType w:val="multilevel"/>
    <w:tmpl w:val="2A6A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AB271D7"/>
    <w:multiLevelType w:val="multilevel"/>
    <w:tmpl w:val="2E14F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FE96DEE"/>
    <w:multiLevelType w:val="multilevel"/>
    <w:tmpl w:val="291C6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5"/>
  </w:num>
  <w:num w:numId="4">
    <w:abstractNumId w:val="0"/>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06F"/>
    <w:rsid w:val="00694412"/>
    <w:rsid w:val="00B73247"/>
    <w:rsid w:val="00BB306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85ABB2-2515-4B8F-8E7D-DBE44E574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B30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D"/>
    </w:rPr>
  </w:style>
  <w:style w:type="paragraph" w:styleId="Heading3">
    <w:name w:val="heading 3"/>
    <w:basedOn w:val="Normal"/>
    <w:link w:val="Heading3Char"/>
    <w:uiPriority w:val="9"/>
    <w:qFormat/>
    <w:rsid w:val="00BB306F"/>
    <w:pPr>
      <w:spacing w:before="100" w:beforeAutospacing="1" w:after="100" w:afterAutospacing="1" w:line="240" w:lineRule="auto"/>
      <w:outlineLvl w:val="2"/>
    </w:pPr>
    <w:rPr>
      <w:rFonts w:ascii="Times New Roman" w:eastAsia="Times New Roman" w:hAnsi="Times New Roman" w:cs="Times New Roman"/>
      <w:b/>
      <w:bCs/>
      <w:sz w:val="27"/>
      <w:szCs w:val="27"/>
      <w:lang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306F"/>
    <w:rPr>
      <w:rFonts w:ascii="Times New Roman" w:eastAsia="Times New Roman" w:hAnsi="Times New Roman" w:cs="Times New Roman"/>
      <w:b/>
      <w:bCs/>
      <w:kern w:val="36"/>
      <w:sz w:val="48"/>
      <w:szCs w:val="48"/>
      <w:lang w:eastAsia="en-ID"/>
    </w:rPr>
  </w:style>
  <w:style w:type="character" w:customStyle="1" w:styleId="Heading3Char">
    <w:name w:val="Heading 3 Char"/>
    <w:basedOn w:val="DefaultParagraphFont"/>
    <w:link w:val="Heading3"/>
    <w:uiPriority w:val="9"/>
    <w:rsid w:val="00BB306F"/>
    <w:rPr>
      <w:rFonts w:ascii="Times New Roman" w:eastAsia="Times New Roman" w:hAnsi="Times New Roman" w:cs="Times New Roman"/>
      <w:b/>
      <w:bCs/>
      <w:sz w:val="27"/>
      <w:szCs w:val="27"/>
      <w:lang w:eastAsia="en-ID"/>
    </w:rPr>
  </w:style>
  <w:style w:type="paragraph" w:styleId="NormalWeb">
    <w:name w:val="Normal (Web)"/>
    <w:basedOn w:val="Normal"/>
    <w:uiPriority w:val="99"/>
    <w:semiHidden/>
    <w:unhideWhenUsed/>
    <w:rsid w:val="00BB306F"/>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math-inline">
    <w:name w:val="math-inline"/>
    <w:basedOn w:val="DefaultParagraphFont"/>
    <w:rsid w:val="00BB306F"/>
  </w:style>
  <w:style w:type="character" w:styleId="HTMLCode">
    <w:name w:val="HTML Code"/>
    <w:basedOn w:val="DefaultParagraphFont"/>
    <w:uiPriority w:val="99"/>
    <w:semiHidden/>
    <w:unhideWhenUsed/>
    <w:rsid w:val="00BB306F"/>
    <w:rPr>
      <w:rFonts w:ascii="Courier New" w:eastAsia="Times New Roman" w:hAnsi="Courier New" w:cs="Courier New"/>
      <w:sz w:val="20"/>
      <w:szCs w:val="20"/>
    </w:rPr>
  </w:style>
  <w:style w:type="paragraph" w:customStyle="1" w:styleId="author">
    <w:name w:val="author"/>
    <w:basedOn w:val="Normal"/>
    <w:next w:val="Normal"/>
    <w:rsid w:val="00BB306F"/>
    <w:pPr>
      <w:overflowPunct w:val="0"/>
      <w:autoSpaceDE w:val="0"/>
      <w:autoSpaceDN w:val="0"/>
      <w:adjustRightInd w:val="0"/>
      <w:spacing w:after="200" w:line="220" w:lineRule="atLeast"/>
      <w:jc w:val="center"/>
      <w:textAlignment w:val="baseline"/>
    </w:pPr>
    <w:rPr>
      <w:rFonts w:ascii="Times New Roman" w:eastAsia="Times New Roman" w:hAnsi="Times New Roman" w:cs="Times New Roman"/>
      <w:sz w:val="20"/>
      <w:szCs w:val="20"/>
      <w:lang w:val="en-US"/>
    </w:rPr>
  </w:style>
  <w:style w:type="paragraph" w:customStyle="1" w:styleId="papertitle">
    <w:name w:val="papertitle"/>
    <w:basedOn w:val="Normal"/>
    <w:next w:val="author"/>
    <w:rsid w:val="00BB306F"/>
    <w:pPr>
      <w:keepNext/>
      <w:keepLines/>
      <w:suppressAutoHyphens/>
      <w:overflowPunct w:val="0"/>
      <w:autoSpaceDE w:val="0"/>
      <w:autoSpaceDN w:val="0"/>
      <w:adjustRightInd w:val="0"/>
      <w:spacing w:after="480" w:line="360" w:lineRule="atLeast"/>
      <w:jc w:val="center"/>
      <w:textAlignment w:val="baseline"/>
    </w:pPr>
    <w:rPr>
      <w:rFonts w:ascii="Times New Roman" w:eastAsia="Times New Roman" w:hAnsi="Times New Roman" w:cs="Times New Roman"/>
      <w:b/>
      <w:sz w:val="28"/>
      <w:szCs w:val="20"/>
      <w:lang w:val="en-US"/>
    </w:rPr>
  </w:style>
  <w:style w:type="paragraph" w:customStyle="1" w:styleId="pdq2pgselectionanchorcontainer">
    <w:name w:val="pdq2pg_selectionanchorcontainer"/>
    <w:basedOn w:val="Normal"/>
    <w:rsid w:val="00BB306F"/>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PlaceholderText">
    <w:name w:val="Placeholder Text"/>
    <w:basedOn w:val="DefaultParagraphFont"/>
    <w:uiPriority w:val="99"/>
    <w:semiHidden/>
    <w:rsid w:val="00BB306F"/>
    <w:rPr>
      <w:color w:val="808080"/>
    </w:rPr>
  </w:style>
  <w:style w:type="paragraph" w:styleId="ListParagraph">
    <w:name w:val="List Paragraph"/>
    <w:basedOn w:val="Normal"/>
    <w:uiPriority w:val="34"/>
    <w:qFormat/>
    <w:rsid w:val="00BB30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12796">
      <w:bodyDiv w:val="1"/>
      <w:marLeft w:val="0"/>
      <w:marRight w:val="0"/>
      <w:marTop w:val="0"/>
      <w:marBottom w:val="0"/>
      <w:divBdr>
        <w:top w:val="none" w:sz="0" w:space="0" w:color="auto"/>
        <w:left w:val="none" w:sz="0" w:space="0" w:color="auto"/>
        <w:bottom w:val="none" w:sz="0" w:space="0" w:color="auto"/>
        <w:right w:val="none" w:sz="0" w:space="0" w:color="auto"/>
      </w:divBdr>
    </w:div>
    <w:div w:id="884219058">
      <w:bodyDiv w:val="1"/>
      <w:marLeft w:val="0"/>
      <w:marRight w:val="0"/>
      <w:marTop w:val="0"/>
      <w:marBottom w:val="0"/>
      <w:divBdr>
        <w:top w:val="none" w:sz="0" w:space="0" w:color="auto"/>
        <w:left w:val="none" w:sz="0" w:space="0" w:color="auto"/>
        <w:bottom w:val="none" w:sz="0" w:space="0" w:color="auto"/>
        <w:right w:val="none" w:sz="0" w:space="0" w:color="auto"/>
      </w:divBdr>
      <w:divsChild>
        <w:div w:id="123589390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4265341">
          <w:marLeft w:val="0"/>
          <w:marRight w:val="0"/>
          <w:marTop w:val="0"/>
          <w:marBottom w:val="0"/>
          <w:divBdr>
            <w:top w:val="none" w:sz="0" w:space="0" w:color="auto"/>
            <w:left w:val="none" w:sz="0" w:space="0" w:color="auto"/>
            <w:bottom w:val="none" w:sz="0" w:space="0" w:color="auto"/>
            <w:right w:val="none" w:sz="0" w:space="0" w:color="auto"/>
          </w:divBdr>
          <w:divsChild>
            <w:div w:id="1662851890">
              <w:marLeft w:val="0"/>
              <w:marRight w:val="0"/>
              <w:marTop w:val="0"/>
              <w:marBottom w:val="0"/>
              <w:divBdr>
                <w:top w:val="none" w:sz="0" w:space="0" w:color="auto"/>
                <w:left w:val="none" w:sz="0" w:space="0" w:color="auto"/>
                <w:bottom w:val="none" w:sz="0" w:space="0" w:color="auto"/>
                <w:right w:val="none" w:sz="0" w:space="0" w:color="auto"/>
              </w:divBdr>
            </w:div>
          </w:divsChild>
        </w:div>
        <w:div w:id="17164803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9902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562077">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27229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4134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45773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AG-190626</dc:creator>
  <cp:keywords/>
  <dc:description/>
  <cp:lastModifiedBy>AG-190626</cp:lastModifiedBy>
  <cp:revision>1</cp:revision>
  <dcterms:created xsi:type="dcterms:W3CDTF">2026-09-17T01:24:00Z</dcterms:created>
  <dcterms:modified xsi:type="dcterms:W3CDTF">2026-09-17T01:36:00Z</dcterms:modified>
</cp:coreProperties>
</file>