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96826" w14:textId="77777777" w:rsidR="009F7FCE" w:rsidRPr="00EE426C" w:rsidRDefault="005E2D0C" w:rsidP="009D4110">
      <w:pPr>
        <w:pStyle w:val="papertitle"/>
      </w:pPr>
      <w:r>
        <w:t xml:space="preserve"> </w:t>
      </w:r>
      <w:r w:rsidR="00917033">
        <w:t xml:space="preserve">Bipartite </w:t>
      </w:r>
      <w:r w:rsidR="00CF11AE" w:rsidRPr="00CF11AE">
        <w:t>Spin Dynamics in a Double Quantum Dot: Effects of Spin-Spin Interaction</w:t>
      </w:r>
    </w:p>
    <w:p w14:paraId="7EAD397E" w14:textId="77777777" w:rsidR="00D6741C" w:rsidRDefault="0001398D" w:rsidP="00D6741C">
      <w:pPr>
        <w:pStyle w:val="author"/>
        <w:spacing w:after="0"/>
        <w:rPr>
          <w:rStyle w:val="ORCID"/>
          <w:vertAlign w:val="baseline"/>
        </w:rPr>
      </w:pPr>
      <w:r>
        <w:t>Husin Alatas</w:t>
      </w:r>
      <w:r>
        <w:rPr>
          <w:vertAlign w:val="superscript"/>
        </w:rPr>
        <w:t>#</w:t>
      </w:r>
      <w:r>
        <w:rPr>
          <w:rStyle w:val="ORCID"/>
        </w:rPr>
        <w:t>[</w:t>
      </w:r>
      <w:hyperlink r:id="rId8" w:history="1">
        <w:r w:rsidRPr="00C42F29">
          <w:rPr>
            <w:rStyle w:val="Hyperlink"/>
            <w:vertAlign w:val="superscript"/>
          </w:rPr>
          <w:t>0000-0002-7570-3267</w:t>
        </w:r>
      </w:hyperlink>
      <w:r>
        <w:rPr>
          <w:rStyle w:val="ORCID"/>
        </w:rPr>
        <w:t>]</w:t>
      </w:r>
      <w:r>
        <w:rPr>
          <w:rStyle w:val="ORCID"/>
          <w:vertAlign w:val="baseline"/>
        </w:rPr>
        <w:t xml:space="preserve">, </w:t>
      </w:r>
      <w:proofErr w:type="spellStart"/>
      <w:r w:rsidRPr="0001398D">
        <w:rPr>
          <w:rStyle w:val="ORCID"/>
          <w:vertAlign w:val="baseline"/>
        </w:rPr>
        <w:t>Aurelryo</w:t>
      </w:r>
      <w:proofErr w:type="spellEnd"/>
      <w:r w:rsidRPr="0001398D">
        <w:rPr>
          <w:rStyle w:val="ORCID"/>
          <w:vertAlign w:val="baseline"/>
        </w:rPr>
        <w:t xml:space="preserve"> Jonathan</w:t>
      </w:r>
      <w:r>
        <w:rPr>
          <w:rStyle w:val="ORCID"/>
          <w:vertAlign w:val="baseline"/>
        </w:rPr>
        <w:t xml:space="preserve">, </w:t>
      </w:r>
      <w:r w:rsidRPr="0001398D">
        <w:rPr>
          <w:rStyle w:val="ORCID"/>
          <w:vertAlign w:val="baseline"/>
        </w:rPr>
        <w:t>Farhan Yudhistira</w:t>
      </w:r>
      <w:r>
        <w:rPr>
          <w:rStyle w:val="ORCID"/>
          <w:vertAlign w:val="baseline"/>
        </w:rPr>
        <w:t xml:space="preserve">, </w:t>
      </w:r>
    </w:p>
    <w:p w14:paraId="56837FBF" w14:textId="77777777" w:rsidR="007B3119" w:rsidRPr="00EE426C" w:rsidRDefault="0001398D" w:rsidP="00D6741C">
      <w:pPr>
        <w:pStyle w:val="author"/>
        <w:spacing w:after="0"/>
      </w:pPr>
      <w:proofErr w:type="spellStart"/>
      <w:r>
        <w:rPr>
          <w:rStyle w:val="ORCID"/>
          <w:vertAlign w:val="baseline"/>
        </w:rPr>
        <w:t>Faozan</w:t>
      </w:r>
      <w:proofErr w:type="spellEnd"/>
      <w:r>
        <w:rPr>
          <w:rStyle w:val="ORCID"/>
          <w:vertAlign w:val="baseline"/>
        </w:rPr>
        <w:t xml:space="preserve"> Ahmad</w:t>
      </w:r>
      <w:r w:rsidR="00D6741C">
        <w:rPr>
          <w:rStyle w:val="ORCID"/>
        </w:rPr>
        <w:t>[</w:t>
      </w:r>
      <w:r w:rsidR="00D6741C" w:rsidRPr="00D6741C">
        <w:rPr>
          <w:rStyle w:val="ORCID"/>
        </w:rPr>
        <w:t>0000-0001-6182-0780</w:t>
      </w:r>
      <w:r w:rsidR="00D6741C">
        <w:rPr>
          <w:rStyle w:val="ORCID"/>
        </w:rPr>
        <w:t>]</w:t>
      </w:r>
      <w:r>
        <w:rPr>
          <w:rStyle w:val="ORCID"/>
          <w:vertAlign w:val="baseline"/>
        </w:rPr>
        <w:t xml:space="preserve"> </w:t>
      </w:r>
      <w:r w:rsidR="009D4110">
        <w:rPr>
          <w:noProof/>
        </w:rPr>
        <w:t xml:space="preserve">Hendradi </w:t>
      </w:r>
      <w:proofErr w:type="spellStart"/>
      <w:r w:rsidR="009D4110">
        <w:t>Hardhienata</w:t>
      </w:r>
      <w:proofErr w:type="spellEnd"/>
      <w:r w:rsidR="009D4110">
        <w:rPr>
          <w:rStyle w:val="ORCID"/>
        </w:rPr>
        <w:t>[</w:t>
      </w:r>
      <w:hyperlink r:id="rId9" w:history="1">
        <w:r w:rsidR="009D4110" w:rsidRPr="00C42F29">
          <w:rPr>
            <w:rStyle w:val="Hyperlink"/>
            <w:vertAlign w:val="superscript"/>
          </w:rPr>
          <w:t>0000-0001-9123-4539</w:t>
        </w:r>
      </w:hyperlink>
      <w:r w:rsidR="009D4110">
        <w:rPr>
          <w:rStyle w:val="ORCID"/>
        </w:rPr>
        <w:t>]</w:t>
      </w:r>
    </w:p>
    <w:p w14:paraId="0DC8AEA9" w14:textId="77777777" w:rsidR="009D4110" w:rsidRDefault="009D4110" w:rsidP="00D6741C">
      <w:pPr>
        <w:pStyle w:val="address"/>
        <w:spacing w:before="240"/>
      </w:pPr>
      <w:r>
        <w:t>Theoretical Physics Division, Department of Physics, Faculty of Mathematics and Natural</w:t>
      </w:r>
    </w:p>
    <w:p w14:paraId="66E14EED" w14:textId="77777777" w:rsidR="0001398D" w:rsidRPr="0001398D" w:rsidRDefault="009D4110" w:rsidP="0001398D">
      <w:pPr>
        <w:pStyle w:val="address"/>
        <w:rPr>
          <w:rStyle w:val="e-mail"/>
          <w:rFonts w:ascii="Times New Roman" w:hAnsi="Times New Roman"/>
          <w:noProof w:val="0"/>
        </w:rPr>
      </w:pPr>
      <w:r>
        <w:t>Sciences, IPB University, Bogor, Indonesia</w:t>
      </w:r>
    </w:p>
    <w:p w14:paraId="6C9DC983" w14:textId="77777777" w:rsidR="009D4110" w:rsidRPr="00D504D9" w:rsidRDefault="0001398D" w:rsidP="009D4110">
      <w:pPr>
        <w:pStyle w:val="address"/>
      </w:pPr>
      <w:r w:rsidRPr="00D504D9">
        <w:rPr>
          <w:rStyle w:val="e-mail"/>
          <w:rFonts w:ascii="Times New Roman" w:hAnsi="Times New Roman"/>
          <w:vertAlign w:val="superscript"/>
        </w:rPr>
        <w:t>#</w:t>
      </w:r>
      <w:r w:rsidRPr="00D504D9">
        <w:rPr>
          <w:rStyle w:val="e-mail"/>
          <w:rFonts w:ascii="Times New Roman" w:hAnsi="Times New Roman"/>
        </w:rPr>
        <w:t>alatas</w:t>
      </w:r>
      <w:r w:rsidR="009D4110" w:rsidRPr="00D504D9">
        <w:rPr>
          <w:rStyle w:val="e-mail"/>
          <w:rFonts w:ascii="Times New Roman" w:hAnsi="Times New Roman"/>
        </w:rPr>
        <w:t>@apps.ipb.ac.id</w:t>
      </w:r>
    </w:p>
    <w:p w14:paraId="7C48AA9C" w14:textId="77777777" w:rsidR="007B3119" w:rsidRPr="006809AE" w:rsidRDefault="007B3119" w:rsidP="006809AE">
      <w:pPr>
        <w:pStyle w:val="address"/>
      </w:pPr>
    </w:p>
    <w:p w14:paraId="0AC624D3" w14:textId="77777777" w:rsidR="00F45479" w:rsidRPr="00EE426C" w:rsidRDefault="009B2539" w:rsidP="00F12049">
      <w:pPr>
        <w:pStyle w:val="abstract"/>
        <w:spacing w:after="0"/>
        <w:ind w:firstLine="0"/>
      </w:pPr>
      <w:r w:rsidRPr="00EE426C">
        <w:rPr>
          <w:b/>
          <w:bCs/>
        </w:rPr>
        <w:t xml:space="preserve">Abstract. </w:t>
      </w:r>
      <w:r>
        <w:t>We present an analytical treatment of the spin dynamics of a double quantum dot (DQD), modeled as a bipartite system of two spin</w:t>
      </w:r>
      <w:r w:rsidR="00B27F21" w:rsidRPr="00AB1453">
        <w:rPr>
          <w:noProof/>
          <w:position w:val="-10"/>
        </w:rPr>
        <w:object w:dxaOrig="460" w:dyaOrig="300" w14:anchorId="1C2000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2.9pt;height:15.25pt;mso-width-percent:0;mso-height-percent:0;mso-width-percent:0;mso-height-percent:0" o:ole="">
            <v:imagedata r:id="rId10" o:title=""/>
          </v:shape>
          <o:OLEObject Type="Embed" ProgID="Equation.DSMT4" ShapeID="_x0000_i1025" DrawAspect="Content" ObjectID="_1851521520" r:id="rId11"/>
        </w:object>
      </w:r>
      <w:r>
        <w:t xml:space="preserve"> particles governed by the bipartite Pauli equation in a constant magnetic field. In contrast to formulations in which the two spins are treated as independent, the spin-spin interaction is retained explicitly and is written in the isotropic exchange form. The magnetic vector potential is chosen as a one-dimensional linear function satisfying the Coulomb gauge condition, which fixes both the magnitude and the orientation of the field entering the spin sector, whereas the Coulomb interaction between the two charges is retained in the spatial sector and does not act on the spin problem. Working in the product basis built from the single-particle </w:t>
      </w:r>
      <w:proofErr w:type="spellStart"/>
      <w:r>
        <w:t>eigenspinors</w:t>
      </w:r>
      <w:proofErr w:type="spellEnd"/>
      <w:r>
        <w:t xml:space="preserve">, we show that the four-dimensional spin Hamiltonian separates into two one-dimensional blocks and one two-dimensional block, and we obtain the eigenvalues, the </w:t>
      </w:r>
      <w:proofErr w:type="spellStart"/>
      <w:r>
        <w:t>eigenbispinors</w:t>
      </w:r>
      <w:proofErr w:type="spellEnd"/>
      <w:r>
        <w:t xml:space="preserve">, and the singlet-triplet mixing angle in closed form. The resulting spectrum reveals that the Zeeman effect is selective: the external field splits the triplet levels while leaving the singlet in place, so that the singlet-triplet separation is governed by the spin-spin coupling alone. For a charge-symmetric DQD, the mixing angle is locked at its maximal value, the exact singlet and triplet states being recovered directly from the bipartite Pauli equation, and a sufficiently strong field brings one triplet branch into coincidence with the singlet. These results provide a compact analytical description of the spin structure of a confined bipartite spin system and of the parameters governing the operation of a two-electron DQD as a spin-based </w:t>
      </w:r>
      <w:proofErr w:type="spellStart"/>
      <w:r>
        <w:t>nanoelectronic</w:t>
      </w:r>
      <w:proofErr w:type="spellEnd"/>
      <w:r>
        <w:t xml:space="preserve"> device.</w:t>
      </w:r>
    </w:p>
    <w:p w14:paraId="6E7F79C2" w14:textId="77777777" w:rsidR="007B3119" w:rsidRPr="00EE426C" w:rsidRDefault="009B2539" w:rsidP="009D4110">
      <w:pPr>
        <w:pStyle w:val="keywords"/>
        <w:jc w:val="both"/>
      </w:pPr>
      <w:r w:rsidRPr="00EE426C">
        <w:rPr>
          <w:b/>
          <w:bCs/>
        </w:rPr>
        <w:t>Keywords:</w:t>
      </w:r>
      <w:r w:rsidRPr="00EE426C">
        <w:t xml:space="preserve"> </w:t>
      </w:r>
      <w:r w:rsidR="00CF11AE" w:rsidRPr="00CF11AE">
        <w:t>Bipartite Pauli equation; Double quantum dot; Spin-spin interaction; Selective Zeeman splitting; Singlet-triplet states; Spin qubit</w:t>
      </w:r>
    </w:p>
    <w:p w14:paraId="2B6EEFC7" w14:textId="77777777" w:rsidR="007B3119" w:rsidRDefault="009D4110" w:rsidP="00C24DEF">
      <w:pPr>
        <w:pStyle w:val="heading1"/>
      </w:pPr>
      <w:r>
        <w:t>Introduction</w:t>
      </w:r>
    </w:p>
    <w:p w14:paraId="59F17923" w14:textId="77777777" w:rsidR="00CF11AE" w:rsidRDefault="00CF11AE" w:rsidP="00181F47">
      <w:pPr>
        <w:ind w:firstLine="360"/>
      </w:pPr>
      <w:r>
        <w:t xml:space="preserve">Among the properties of quantum particles described within the Schrödinger wave picture [1], spin occupies a singular position, since it has no counterpart in classical mechanics [2]. Its existence was inferred not from theory but from experiment: from the way spectral lines divide when an atom is placed in a magnetic field [3], and from </w:t>
      </w:r>
      <w:r>
        <w:lastRenderedPageBreak/>
        <w:t xml:space="preserve">the deflection of an atomic beam into discrete components [4]. Accommodating such a degree of freedom requires a wavefunction with more than one component, and the Pauli equation supplies precisely that, the state becoming a two-component spinor while the coupling between the external field and the spin magnetic moment is carried by the Pauli matrices [5]. The equation is not merely phenomenological: it follows from the relativistic Dirac equation in the non-relativistic limit [6], and it can equally be reconstructed, together with the bipartite form appropriate to two interacting spins, from the </w:t>
      </w:r>
      <w:proofErr w:type="spellStart"/>
      <w:r>
        <w:t>Budiyono</w:t>
      </w:r>
      <w:proofErr w:type="spellEnd"/>
      <w:r>
        <w:t>-Rohrlich statistical model of quantum mechanics [7]. It is this bipartite form that provides the starting point of the present work.</w:t>
      </w:r>
    </w:p>
    <w:p w14:paraId="1FC1175F" w14:textId="77777777" w:rsidR="00CF11AE" w:rsidRDefault="00CF11AE" w:rsidP="00181F47">
      <w:pPr>
        <w:ind w:firstLine="360"/>
      </w:pPr>
      <w:r>
        <w:t>Whenever two or more spins are present, their mutual interaction ceases to be a small correction and becomes a defining feature of the dynamics. In an atom, the spin of an electron couples to the spin and orbital angular momentum of the remaining electrons, producing fine-structure spectral features [9], and to the spin of the nucleus, producing hyperfine-structure spectral features [11]. In systems with half-integer spin, such couplings govern the splitting of the fine energy levels and the accessibility of the states involved [8]. In engineered nanostructures</w:t>
      </w:r>
      <w:r w:rsidR="003851C5">
        <w:t>,</w:t>
      </w:r>
      <w:r>
        <w:t xml:space="preserve"> the same mechanism reappears in a controllable form: the effective spin-spin coupling between two localized electrons is dominated by the exchange interaction, which originates from the interplay between the Coulomb repulsion and the Pauli exclusion principle, and which can be tuned electrostatically together with the confinement itself [10]. The two-spin energy landscape is therefore set by the competition between this exchange coupling and the Zeeman interaction with an external magnetic field.</w:t>
      </w:r>
    </w:p>
    <w:p w14:paraId="4DAA6151" w14:textId="77777777" w:rsidR="00CF11AE" w:rsidRDefault="00CF11AE" w:rsidP="00181F47">
      <w:pPr>
        <w:ind w:firstLine="360"/>
      </w:pPr>
      <w:r>
        <w:t xml:space="preserve">The double quantum dot (DQD) is the system in which this competition is realized most directly. </w:t>
      </w:r>
      <w:r>
        <w:rPr>
          <w:color w:val="0000FF"/>
        </w:rPr>
        <w:t>Two electrons</w:t>
      </w:r>
      <w:r>
        <w:t xml:space="preserve"> confined in adjacent electrostatic minima constitute a bipartite spin</w:t>
      </w:r>
      <w:r w:rsidR="00B27F21" w:rsidRPr="00AB1453">
        <w:rPr>
          <w:noProof/>
          <w:position w:val="-10"/>
        </w:rPr>
        <w:object w:dxaOrig="460" w:dyaOrig="300" w14:anchorId="33EB1554">
          <v:shape id="_x0000_i1026" type="#_x0000_t75" alt="" style="width:22.9pt;height:15.25pt;mso-width-percent:0;mso-height-percent:0;mso-width-percent:0;mso-height-percent:0" o:ole="">
            <v:imagedata r:id="rId10" o:title=""/>
          </v:shape>
          <o:OLEObject Type="Embed" ProgID="Equation.DSMT4" ShapeID="_x0000_i1026" DrawAspect="Content" ObjectID="_1851521521" r:id="rId12"/>
        </w:object>
      </w:r>
      <w:r w:rsidR="003851C5">
        <w:t xml:space="preserve"> </w:t>
      </w:r>
      <w:r>
        <w:t>system whose low-energy sector is spanned by one singlet and three triplet states: the spin-spin coupling fixes the singlet-triplet separation, while the external magnetic field lifts the degeneracy within the triplet manifold [9]. What distinguishes the DQD from its atomic counterparts is that both the confinement and the interdot coupling are defined by gate voltages, so that the strength of the spin-spin interaction becomes an externally adjustable parameter rather than a fixed property of the system.</w:t>
      </w:r>
    </w:p>
    <w:p w14:paraId="1C64370C" w14:textId="77777777" w:rsidR="00CF11AE" w:rsidRDefault="00CF11AE" w:rsidP="00181F47">
      <w:pPr>
        <w:ind w:firstLine="360"/>
      </w:pPr>
      <w:r>
        <w:t xml:space="preserve">This tunability is what turns the two-spin structure of a DQD into a technological resource. The singlet and the unpolarized triplet state span a two-level subspace that can be operated as a qubit, in which logical rotations are driven by pulsing the spin-spin coupling, while readout is performed by converting the spin configuration into a charge signal through Pauli spin blockade [9]. Since the same coupling also mediates the entangling operation between </w:t>
      </w:r>
      <w:r w:rsidR="003851C5">
        <w:t>neighboring</w:t>
      </w:r>
      <w:r>
        <w:t xml:space="preserve"> spins, the exchange interaction acts simultaneously as the control knob for single- and two-qubit gates. Spin qubits defined in gate-controlled quantum dots thereby combine fast electrical control with compatibility with existing semiconductor fabrication technology, and represent one of the leading solid-state routes towards scalable quantum information processing, alongside the superconducting and trapped-ion architectures that exploit the same two-level structure [12, 13]. In this context, analytical treatments of the two-electron quantum dot in a magnetic field remain of continuing interest, since they expose the organization of the spectrum, and hence the operating points of such devices, without recourse to a full numerical diagonalization [14].</w:t>
      </w:r>
    </w:p>
    <w:p w14:paraId="4BA079F0" w14:textId="77777777" w:rsidR="00CF11AE" w:rsidRDefault="00CF11AE" w:rsidP="00181F47">
      <w:pPr>
        <w:ind w:firstLine="360"/>
      </w:pPr>
      <w:r>
        <w:t>In this work, we investigate the spin dynamics of the bipartite spin</w:t>
      </w:r>
      <w:r w:rsidR="00B27F21" w:rsidRPr="00AB1453">
        <w:rPr>
          <w:noProof/>
          <w:position w:val="-10"/>
        </w:rPr>
        <w:object w:dxaOrig="460" w:dyaOrig="300" w14:anchorId="4621E727">
          <v:shape id="_x0000_i1027" type="#_x0000_t75" alt="" style="width:22.9pt;height:15.25pt;mso-width-percent:0;mso-height-percent:0;mso-width-percent:0;mso-height-percent:0" o:ole="">
            <v:imagedata r:id="rId10" o:title=""/>
          </v:shape>
          <o:OLEObject Type="Embed" ProgID="Equation.DSMT4" ShapeID="_x0000_i1027" DrawAspect="Content" ObjectID="_1851521522" r:id="rId13"/>
        </w:object>
      </w:r>
      <w:r>
        <w:t xml:space="preserve"> system of a DQD by solving the associated time-independent Pauli equation in the presence of a static external magnetic field, with the spin-spin interaction retained explicitly rather than discarded. Our attention is directed throughout to the system's spin Hamiltonian. The magnetic vector potential is taken to be a one-dimensional linear function that satisfies the Coulomb gauge condition, which fixes both the magnitude and the orientation of the constant magnetic field entering the spin sector. The spin-spin interaction is modeled in the isotropic exchange form, </w:t>
      </w:r>
      <w:r w:rsidR="008C0012">
        <w:t>with the strength given by</w:t>
      </w:r>
      <w:r>
        <w:t xml:space="preserve"> the exchange coupling between the two spins. The internal Coulomb interaction between the two electrons is retained in the spatial part of the Hamiltonian for completeness, but since it does not enter the spin sector, it is only touched upon here and is not a focus of the present analysis. Solving the corresponding eigenvalue problem, we obtain the eigenvalues and </w:t>
      </w:r>
      <w:proofErr w:type="spellStart"/>
      <w:r>
        <w:t>eigenbispinors</w:t>
      </w:r>
      <w:proofErr w:type="spellEnd"/>
      <w:r>
        <w:t xml:space="preserve"> of the spin Hamiltonian in closed form, together with a mixing angle that measures the singlet-triplet admixture generated by the competition between the spin-spin coupling and the Zeeman term. For clarity, the spin Hamiltonian of a single spin</w:t>
      </w:r>
      <w:r w:rsidR="00B27F21" w:rsidRPr="00AB1453">
        <w:rPr>
          <w:noProof/>
          <w:position w:val="-10"/>
        </w:rPr>
        <w:object w:dxaOrig="460" w:dyaOrig="300" w14:anchorId="37A74123">
          <v:shape id="_x0000_i1028" type="#_x0000_t75" alt="" style="width:22.9pt;height:15.25pt;mso-width-percent:0;mso-height-percent:0;mso-width-percent:0;mso-height-percent:0" o:ole="">
            <v:imagedata r:id="rId10" o:title=""/>
          </v:shape>
          <o:OLEObject Type="Embed" ProgID="Equation.DSMT4" ShapeID="_x0000_i1028" DrawAspect="Content" ObjectID="_1851521523" r:id="rId14"/>
        </w:object>
      </w:r>
      <w:r>
        <w:t xml:space="preserve"> particle is discussed first.</w:t>
      </w:r>
    </w:p>
    <w:p w14:paraId="6672B6F7" w14:textId="77777777" w:rsidR="00CF11AE" w:rsidRDefault="00CF11AE" w:rsidP="00181F47">
      <w:pPr>
        <w:ind w:firstLine="360"/>
      </w:pPr>
      <w:r>
        <w:t xml:space="preserve">To the best of our knowledge, a systematic treatment of the spin Hamiltonian of a DQD based on the bipartite Pauli equation, in which the spin-spin interaction is retained, and the resulting eigenvalues and </w:t>
      </w:r>
      <w:proofErr w:type="spellStart"/>
      <w:r>
        <w:t>eigenbispinors</w:t>
      </w:r>
      <w:proofErr w:type="spellEnd"/>
      <w:r>
        <w:t xml:space="preserve"> are obtained in closed form, has not been presented explicitly. This work addresses that gap, and two concrete outcomes follow. First, in the product basis of the single-particle </w:t>
      </w:r>
      <w:proofErr w:type="spellStart"/>
      <w:r>
        <w:t>eigenspinors</w:t>
      </w:r>
      <w:proofErr w:type="spellEnd"/>
      <w:r>
        <w:t>, the four-dimensional spin problem decomposes into blocks that can be diagonalized analytically. Second, the Zeeman response of the confined bipartite spin</w:t>
      </w:r>
      <w:r w:rsidR="00B27F21" w:rsidRPr="00AB1453">
        <w:rPr>
          <w:noProof/>
          <w:position w:val="-10"/>
        </w:rPr>
        <w:object w:dxaOrig="460" w:dyaOrig="300" w14:anchorId="45EB80A2">
          <v:shape id="_x0000_i1029" type="#_x0000_t75" alt="" style="width:22.9pt;height:15.25pt;mso-width-percent:0;mso-height-percent:0;mso-width-percent:0;mso-height-percent:0" o:ole="">
            <v:imagedata r:id="rId10" o:title=""/>
          </v:shape>
          <o:OLEObject Type="Embed" ProgID="Equation.DSMT4" ShapeID="_x0000_i1029" DrawAspect="Content" ObjectID="_1851521524" r:id="rId15"/>
        </w:object>
      </w:r>
      <w:r>
        <w:t xml:space="preserve"> system proves to be selective: the field splits the triplet levels while leaving the singlet in place, so that the singlet-triplet separation is set by the spin-spin coupling alone, and for the charge-symmetric case of a two-electron DQD the mixing angle is locked at its maximal value, the exact singlet and triplet states being recovered directly from the bipartite Pauli equation. Taken together, these outcomes identify the parameters that govern the operation of a two-electron DQD as a spin-based </w:t>
      </w:r>
      <w:proofErr w:type="spellStart"/>
      <w:r>
        <w:t>nanoelectronic</w:t>
      </w:r>
      <w:proofErr w:type="spellEnd"/>
      <w:r>
        <w:t xml:space="preserve"> device.</w:t>
      </w:r>
    </w:p>
    <w:p w14:paraId="59E20635" w14:textId="77777777" w:rsidR="00450B2F" w:rsidRDefault="00CF11AE" w:rsidP="00181F47">
      <w:pPr>
        <w:ind w:firstLine="360"/>
      </w:pPr>
      <w:r>
        <w:t>We organize the report as follows. In Section 2, we discuss the Pauli equation. Section 3 presents the single-particle spin Hamiltonian</w:t>
      </w:r>
      <w:r w:rsidR="003851C5">
        <w:t xml:space="preserve">, its </w:t>
      </w:r>
      <w:proofErr w:type="spellStart"/>
      <w:r w:rsidR="003851C5">
        <w:t>eigenspinors</w:t>
      </w:r>
      <w:proofErr w:type="spellEnd"/>
      <w:r w:rsidR="003851C5">
        <w:t>,</w:t>
      </w:r>
      <w:r>
        <w:t xml:space="preserve"> and the associated energy levels. Section 4 extends the analysis to the bipartite spin Hamiltonian of a DQD, where the eigenvalues, the </w:t>
      </w:r>
      <w:proofErr w:type="spellStart"/>
      <w:r>
        <w:t>eigenbispinors</w:t>
      </w:r>
      <w:proofErr w:type="spellEnd"/>
      <w:r w:rsidR="003851C5">
        <w:t>,</w:t>
      </w:r>
      <w:r>
        <w:t xml:space="preserve"> and the resulting singlet-triplet structure are derived and their </w:t>
      </w:r>
      <w:proofErr w:type="spellStart"/>
      <w:r>
        <w:t>nanoelectronic</w:t>
      </w:r>
      <w:proofErr w:type="spellEnd"/>
      <w:r>
        <w:t xml:space="preserve"> implications discussed. We conclude the report in Section 5.</w:t>
      </w:r>
    </w:p>
    <w:p w14:paraId="4F150F59" w14:textId="77777777" w:rsidR="008A07D8" w:rsidRDefault="00CF11AE" w:rsidP="009E041C">
      <w:pPr>
        <w:pStyle w:val="heading1"/>
      </w:pPr>
      <w:r w:rsidRPr="00CF11AE">
        <w:t>Pauli Equation</w:t>
      </w:r>
    </w:p>
    <w:p w14:paraId="75FA98FA" w14:textId="239C9EF0" w:rsidR="00CF11AE" w:rsidRPr="00B35CE0" w:rsidRDefault="00CF11AE" w:rsidP="001B5D52">
      <w:pPr>
        <w:tabs>
          <w:tab w:val="left" w:pos="2250"/>
          <w:tab w:val="left" w:pos="9000"/>
        </w:tabs>
        <w:spacing w:before="240" w:line="240" w:lineRule="auto"/>
        <w:ind w:firstLine="360"/>
        <w:rPr>
          <w:color w:val="000000" w:themeColor="text1"/>
        </w:rPr>
      </w:pPr>
      <w:r w:rsidRPr="00B35CE0">
        <w:rPr>
          <w:color w:val="000000" w:themeColor="text1"/>
        </w:rPr>
        <w:t>Our starting point is the equation of motion for a charged particle that carries an intrinsic magnetic moment. For a non-relativistic spin</w:t>
      </w:r>
      <w:r w:rsidR="00F404D3" w:rsidRPr="00AB1453">
        <w:rPr>
          <w:noProof/>
          <w:position w:val="-10"/>
        </w:rPr>
        <w:object w:dxaOrig="460" w:dyaOrig="300" w14:anchorId="37110940">
          <v:shape id="_x0000_i1189" type="#_x0000_t75" alt="" style="width:22.9pt;height:15.25pt;mso-width-percent:0;mso-height-percent:0;mso-width-percent:0;mso-height-percent:0" o:ole="">
            <v:imagedata r:id="rId10" o:title=""/>
          </v:shape>
          <o:OLEObject Type="Embed" ProgID="Equation.DSMT4" ShapeID="_x0000_i1189" DrawAspect="Content" ObjectID="_1851521525" r:id="rId16"/>
        </w:object>
      </w:r>
      <w:r w:rsidRPr="00B35CE0">
        <w:rPr>
          <w:color w:val="000000" w:themeColor="text1"/>
        </w:rPr>
        <w:t xml:space="preserve"> particle placed in an external electromagnetic environment, the corresponding two-component wavefunction evolves according to the Pauli equation [7]:</w:t>
      </w:r>
    </w:p>
    <w:p w14:paraId="29CBB23F" w14:textId="7C9FDA1E" w:rsidR="00CF11AE" w:rsidRPr="00B35CE0" w:rsidRDefault="00790360" w:rsidP="00CF11AE">
      <w:pPr>
        <w:tabs>
          <w:tab w:val="left" w:pos="6480"/>
          <w:tab w:val="left" w:pos="8910"/>
        </w:tabs>
        <w:spacing w:before="240" w:line="240" w:lineRule="auto"/>
        <w:rPr>
          <w:color w:val="000000" w:themeColor="text1"/>
        </w:rPr>
      </w:pPr>
      <w:r w:rsidRPr="00790360">
        <w:rPr>
          <w:b/>
          <w:bCs/>
          <w:noProof/>
          <w:color w:val="000000" w:themeColor="text1"/>
          <w:position w:val="-26"/>
        </w:rPr>
        <w:object w:dxaOrig="3860" w:dyaOrig="620" w14:anchorId="68B0838D">
          <v:shape id="_x0000_i1175" type="#_x0000_t75" alt="" style="width:192.8pt;height:30.45pt" o:ole="">
            <v:imagedata r:id="rId17" o:title=""/>
          </v:shape>
          <o:OLEObject Type="Embed" ProgID="Equation.DSMT4" ShapeID="_x0000_i1175" DrawAspect="Content" ObjectID="_1851521526" r:id="rId18"/>
        </w:object>
      </w:r>
      <w:r w:rsidR="00CF11AE">
        <w:rPr>
          <w:b/>
          <w:bCs/>
          <w:color w:val="000000" w:themeColor="text1"/>
        </w:rPr>
        <w:tab/>
      </w:r>
      <w:r w:rsidR="00CF11AE" w:rsidRPr="00B35CE0">
        <w:rPr>
          <w:color w:val="000000" w:themeColor="text1"/>
        </w:rPr>
        <w:t>(1)</w:t>
      </w:r>
    </w:p>
    <w:p w14:paraId="0681E54B" w14:textId="3E3B6C98" w:rsidR="00642948" w:rsidRPr="00E55811" w:rsidRDefault="00CF11AE" w:rsidP="001B5D52">
      <w:pPr>
        <w:spacing w:line="240" w:lineRule="auto"/>
        <w:ind w:firstLine="360"/>
      </w:pPr>
      <w:r w:rsidRPr="00B35CE0">
        <w:rPr>
          <w:color w:val="000000" w:themeColor="text1"/>
        </w:rPr>
        <w:t xml:space="preserve">The state </w:t>
      </w:r>
      <w:r w:rsidR="00B27F21" w:rsidRPr="00B35CE0">
        <w:rPr>
          <w:noProof/>
          <w:color w:val="000000" w:themeColor="text1"/>
          <w:position w:val="-14"/>
        </w:rPr>
        <w:object w:dxaOrig="1700" w:dyaOrig="420" w14:anchorId="250FD51D">
          <v:shape id="_x0000_i1032" type="#_x0000_t75" alt="" style="width:85.1pt;height:21.25pt;mso-width-percent:0;mso-height-percent:0;mso-width-percent:0;mso-height-percent:0" o:ole="">
            <v:imagedata r:id="rId19" o:title=""/>
          </v:shape>
          <o:OLEObject Type="Embed" ProgID="Equation.DSMT4" ShapeID="_x0000_i1032" DrawAspect="Content" ObjectID="_1851521527" r:id="rId20"/>
        </w:object>
      </w:r>
      <w:r w:rsidRPr="00B35CE0">
        <w:rPr>
          <w:color w:val="000000" w:themeColor="text1"/>
        </w:rPr>
        <w:t xml:space="preserve"> is the spinor of the particle, whose two entries </w:t>
      </w:r>
      <w:r w:rsidR="00B27F21" w:rsidRPr="00B35CE0">
        <w:rPr>
          <w:noProof/>
          <w:color w:val="000000" w:themeColor="text1"/>
          <w:position w:val="-12"/>
        </w:rPr>
        <w:object w:dxaOrig="320" w:dyaOrig="360" w14:anchorId="2451F23B">
          <v:shape id="_x0000_i1033" type="#_x0000_t75" alt="" style="width:15.8pt;height:18pt;mso-width-percent:0;mso-height-percent:0;mso-width-percent:0;mso-height-percent:0" o:ole="">
            <v:imagedata r:id="rId21" o:title=""/>
          </v:shape>
          <o:OLEObject Type="Embed" ProgID="Equation.DSMT4" ShapeID="_x0000_i1033" DrawAspect="Content" ObjectID="_1851521528" r:id="rId22"/>
        </w:object>
      </w:r>
      <w:r w:rsidRPr="00B35CE0">
        <w:rPr>
          <w:color w:val="000000" w:themeColor="text1"/>
        </w:rPr>
        <w:t xml:space="preserve"> are the probability amplitudes associated with the spin-up </w:t>
      </w:r>
      <w:r w:rsidR="00B27F21" w:rsidRPr="00B35CE0">
        <w:rPr>
          <w:noProof/>
          <w:color w:val="000000" w:themeColor="text1"/>
          <w:position w:val="-12"/>
        </w:rPr>
        <w:object w:dxaOrig="340" w:dyaOrig="340" w14:anchorId="10A4CE71">
          <v:shape id="_x0000_i1034" type="#_x0000_t75" alt="" style="width:16.9pt;height:16.9pt;mso-width-percent:0;mso-height-percent:0;mso-width-percent:0;mso-height-percent:0" o:ole="">
            <v:imagedata r:id="rId23" o:title=""/>
          </v:shape>
          <o:OLEObject Type="Embed" ProgID="Equation.DSMT4" ShapeID="_x0000_i1034" DrawAspect="Content" ObjectID="_1851521529" r:id="rId24"/>
        </w:object>
      </w:r>
      <w:r w:rsidRPr="00B35CE0">
        <w:rPr>
          <w:color w:val="000000" w:themeColor="text1"/>
        </w:rPr>
        <w:t xml:space="preserve"> and spin-down </w:t>
      </w:r>
      <w:r w:rsidR="00B27F21" w:rsidRPr="00B35CE0">
        <w:rPr>
          <w:noProof/>
          <w:color w:val="000000" w:themeColor="text1"/>
          <w:position w:val="-12"/>
        </w:rPr>
        <w:object w:dxaOrig="340" w:dyaOrig="340" w14:anchorId="0395B8AF">
          <v:shape id="_x0000_i1035" type="#_x0000_t75" alt="" style="width:16.9pt;height:16.9pt;mso-width-percent:0;mso-height-percent:0;mso-width-percent:0;mso-height-percent:0" o:ole="">
            <v:imagedata r:id="rId25" o:title=""/>
          </v:shape>
          <o:OLEObject Type="Embed" ProgID="Equation.DSMT4" ShapeID="_x0000_i1035" DrawAspect="Content" ObjectID="_1851521530" r:id="rId26"/>
        </w:object>
      </w:r>
      <w:r w:rsidRPr="00B35CE0">
        <w:rPr>
          <w:color w:val="000000" w:themeColor="text1"/>
        </w:rPr>
        <w:t xml:space="preserve"> orientations. Coupling to the electromagnetic field is introduced through the kinetic momentum operator </w:t>
      </w:r>
      <w:r w:rsidR="00B27F21" w:rsidRPr="00B35CE0">
        <w:rPr>
          <w:noProof/>
          <w:position w:val="-10"/>
        </w:rPr>
        <w:object w:dxaOrig="1020" w:dyaOrig="340" w14:anchorId="38867DC7">
          <v:shape id="_x0000_i1036" type="#_x0000_t75" alt="" style="width:50.75pt;height:16.9pt;mso-width-percent:0;mso-height-percent:0;mso-width-percent:0;mso-height-percent:0" o:ole="">
            <v:imagedata r:id="rId27" o:title=""/>
          </v:shape>
          <o:OLEObject Type="Embed" ProgID="Equation.DSMT4" ShapeID="_x0000_i1036" DrawAspect="Content" ObjectID="_1851521531" r:id="rId28"/>
        </w:object>
      </w:r>
      <w:r w:rsidRPr="00B35CE0">
        <w:rPr>
          <w:color w:val="000000" w:themeColor="text1"/>
        </w:rPr>
        <w:t xml:space="preserve"> in which </w:t>
      </w:r>
      <w:r w:rsidR="00B27F21" w:rsidRPr="00B35CE0">
        <w:rPr>
          <w:noProof/>
          <w:color w:val="000000" w:themeColor="text1"/>
          <w:position w:val="-10"/>
        </w:rPr>
        <w:object w:dxaOrig="840" w:dyaOrig="340" w14:anchorId="73ABD1DF">
          <v:shape id="_x0000_i1037" type="#_x0000_t75" alt="" style="width:42pt;height:16.9pt;mso-width-percent:0;mso-height-percent:0;mso-width-percent:0;mso-height-percent:0" o:ole="">
            <v:imagedata r:id="rId29" o:title=""/>
          </v:shape>
          <o:OLEObject Type="Embed" ProgID="Equation.DSMT4" ShapeID="_x0000_i1037" DrawAspect="Content" ObjectID="_1851521532" r:id="rId30"/>
        </w:object>
      </w:r>
      <w:r w:rsidRPr="00B35CE0">
        <w:rPr>
          <w:color w:val="000000" w:themeColor="text1"/>
        </w:rPr>
        <w:t xml:space="preserve"> is the linear momentum operator, while </w:t>
      </w:r>
      <w:r w:rsidR="00B27F21" w:rsidRPr="00B35CE0">
        <w:rPr>
          <w:noProof/>
          <w:color w:val="000000" w:themeColor="text1"/>
          <w:position w:val="-10"/>
        </w:rPr>
        <w:object w:dxaOrig="220" w:dyaOrig="300" w14:anchorId="1FABD2E6">
          <v:shape id="_x0000_i1038" type="#_x0000_t75" alt="" style="width:10.9pt;height:14.75pt;mso-width-percent:0;mso-height-percent:0;mso-width-percent:0;mso-height-percent:0" o:ole="">
            <v:imagedata r:id="rId31" o:title=""/>
          </v:shape>
          <o:OLEObject Type="Embed" ProgID="Equation.DSMT4" ShapeID="_x0000_i1038" DrawAspect="Content" ObjectID="_1851521533" r:id="rId32"/>
        </w:object>
      </w:r>
      <w:r w:rsidRPr="00B35CE0">
        <w:rPr>
          <w:color w:val="000000" w:themeColor="text1"/>
        </w:rPr>
        <w:t xml:space="preserve"> denotes the </w:t>
      </w:r>
      <w:r w:rsidR="00B27F21" w:rsidRPr="00B35CE0">
        <w:rPr>
          <w:noProof/>
          <w:color w:val="000000" w:themeColor="text1"/>
          <w:position w:val="-4"/>
        </w:rPr>
        <w:object w:dxaOrig="440" w:dyaOrig="220" w14:anchorId="60A87396">
          <v:shape id="_x0000_i1039" type="#_x0000_t75" alt="" style="width:21.8pt;height:10.9pt;mso-width-percent:0;mso-height-percent:0;mso-width-percent:0;mso-height-percent:0" o:ole="">
            <v:imagedata r:id="rId33" o:title=""/>
          </v:shape>
          <o:OLEObject Type="Embed" ProgID="Equation.DSMT4" ShapeID="_x0000_i1039" DrawAspect="Content" ObjectID="_1851521534" r:id="rId34"/>
        </w:object>
      </w:r>
      <w:r w:rsidRPr="00B35CE0">
        <w:rPr>
          <w:color w:val="000000" w:themeColor="text1"/>
        </w:rPr>
        <w:t xml:space="preserve"> identity matrix and ensures that the orbital terms act identically on both spinor components. </w:t>
      </w:r>
      <w:r>
        <w:rPr>
          <w:color w:val="0000FF"/>
        </w:rPr>
        <w:t xml:space="preserve">The charge and the mass of the particle are denoted by </w:t>
      </w:r>
      <w:r>
        <w:rPr>
          <w:i/>
          <w:iCs/>
          <w:color w:val="0000FF"/>
        </w:rPr>
        <w:t>q</w:t>
      </w:r>
      <w:r>
        <w:rPr>
          <w:color w:val="0000FF"/>
        </w:rPr>
        <w:t xml:space="preserve"> and </w:t>
      </w:r>
      <w:r>
        <w:rPr>
          <w:i/>
          <w:iCs/>
          <w:color w:val="0000FF"/>
        </w:rPr>
        <w:t>m</w:t>
      </w:r>
      <w:r>
        <w:rPr>
          <w:color w:val="0000FF"/>
        </w:rPr>
        <w:t xml:space="preserve">. </w:t>
      </w:r>
      <w:r w:rsidRPr="00B35CE0">
        <w:rPr>
          <w:color w:val="000000" w:themeColor="text1"/>
        </w:rPr>
        <w:t xml:space="preserve">The external magnetic vector and scalar potentials are written as </w:t>
      </w:r>
      <w:r w:rsidR="00B27F21" w:rsidRPr="00B35CE0">
        <w:rPr>
          <w:noProof/>
          <w:color w:val="000000" w:themeColor="text1"/>
          <w:position w:val="-4"/>
        </w:rPr>
        <w:object w:dxaOrig="220" w:dyaOrig="279" w14:anchorId="1EE90DD5">
          <v:shape id="_x0000_i1040" type="#_x0000_t75" alt="" style="width:10.9pt;height:13.65pt;mso-width-percent:0;mso-height-percent:0;mso-width-percent:0;mso-height-percent:0" o:ole="">
            <v:imagedata r:id="rId35" o:title=""/>
          </v:shape>
          <o:OLEObject Type="Embed" ProgID="Equation.DSMT4" ShapeID="_x0000_i1040" DrawAspect="Content" ObjectID="_1851521535" r:id="rId36"/>
        </w:object>
      </w:r>
      <w:r w:rsidRPr="00B35CE0">
        <w:rPr>
          <w:color w:val="000000" w:themeColor="text1"/>
        </w:rPr>
        <w:t xml:space="preserve"> and </w:t>
      </w:r>
      <w:r w:rsidR="0039385E" w:rsidRPr="0039385E">
        <w:rPr>
          <w:noProof/>
          <w:color w:val="000000" w:themeColor="text1"/>
          <w:position w:val="-8"/>
        </w:rPr>
        <w:object w:dxaOrig="260" w:dyaOrig="260" w14:anchorId="19F8B4B7">
          <v:shape id="_x0000_i1181" type="#_x0000_t75" alt="" style="width:12.9pt;height:13pt" o:ole="">
            <v:imagedata r:id="rId37" o:title=""/>
          </v:shape>
          <o:OLEObject Type="Embed" ProgID="Equation.DSMT4" ShapeID="_x0000_i1181" DrawAspect="Content" ObjectID="_1851521536" r:id="rId38"/>
        </w:object>
      </w:r>
      <w:r w:rsidRPr="00B35CE0">
        <w:rPr>
          <w:color w:val="000000" w:themeColor="text1"/>
        </w:rPr>
        <w:t xml:space="preserve"> respectively. The last term of Eq. (1) is the one that governs the spin dynamics, since it couples the constant magnetic field </w:t>
      </w:r>
      <w:r w:rsidR="00B27F21" w:rsidRPr="00B35CE0">
        <w:rPr>
          <w:noProof/>
          <w:color w:val="000000" w:themeColor="text1"/>
          <w:position w:val="-14"/>
        </w:rPr>
        <w:object w:dxaOrig="1680" w:dyaOrig="420" w14:anchorId="77598326">
          <v:shape id="_x0000_i1042" type="#_x0000_t75" alt="" style="width:84.6pt;height:20.75pt;mso-width-percent:0;mso-height-percent:0;mso-width-percent:0;mso-height-percent:0" o:ole="">
            <v:imagedata r:id="rId39" o:title=""/>
          </v:shape>
          <o:OLEObject Type="Embed" ProgID="Equation.DSMT4" ShapeID="_x0000_i1042" DrawAspect="Content" ObjectID="_1851521537" r:id="rId40"/>
        </w:object>
      </w:r>
      <w:r w:rsidRPr="00B35CE0">
        <w:rPr>
          <w:color w:val="000000" w:themeColor="text1"/>
        </w:rPr>
        <w:t xml:space="preserve"> to the vector of Pauli matrices </w:t>
      </w:r>
      <w:r w:rsidR="00B27F21" w:rsidRPr="00B35CE0">
        <w:rPr>
          <w:noProof/>
          <w:color w:val="000000" w:themeColor="text1"/>
          <w:position w:val="-14"/>
        </w:rPr>
        <w:object w:dxaOrig="1700" w:dyaOrig="420" w14:anchorId="6172A309">
          <v:shape id="_x0000_i1043" type="#_x0000_t75" alt="" style="width:85.1pt;height:20.75pt;mso-width-percent:0;mso-height-percent:0;mso-width-percent:0;mso-height-percent:0" o:ole="">
            <v:imagedata r:id="rId41" o:title=""/>
          </v:shape>
          <o:OLEObject Type="Embed" ProgID="Equation.DSMT4" ShapeID="_x0000_i1043" DrawAspect="Content" ObjectID="_1851521538" r:id="rId42"/>
        </w:object>
      </w:r>
      <w:r w:rsidRPr="00B35CE0">
        <w:rPr>
          <w:color w:val="000000" w:themeColor="text1"/>
        </w:rPr>
        <w:t xml:space="preserve"> whose components represent the spin of the associated particle. Because the orbital and the spin contributions enter additively, they can be examined independently of one another, and it is the latter that will occupy us in what follows.</w:t>
      </w:r>
    </w:p>
    <w:p w14:paraId="40462FE2" w14:textId="77777777" w:rsidR="00042F15" w:rsidRDefault="00000000">
      <w:pPr>
        <w:spacing w:line="240" w:lineRule="auto"/>
        <w:ind w:firstLine="360"/>
      </w:pPr>
      <w:r>
        <w:rPr>
          <w:color w:val="FF0000"/>
        </w:rPr>
        <w:t xml:space="preserve">Note that Eq. (1) is obtained both from the non-relativistic limit of the Dirac equation [6] and from the </w:t>
      </w:r>
      <w:proofErr w:type="spellStart"/>
      <w:r>
        <w:rPr>
          <w:color w:val="FF0000"/>
        </w:rPr>
        <w:t>Budiyono</w:t>
      </w:r>
      <w:proofErr w:type="spellEnd"/>
      <w:r>
        <w:rPr>
          <w:color w:val="FF0000"/>
        </w:rPr>
        <w:t xml:space="preserve">-Rohrlich statistical model [7], such that the two routes give identical observable predictions for the present system and differ only in their conceptual basis. Meanwhile, Eq. (1) does not include spin-orbit coupling of the </w:t>
      </w:r>
      <w:proofErr w:type="spellStart"/>
      <w:r>
        <w:rPr>
          <w:color w:val="FF0000"/>
        </w:rPr>
        <w:t>Rashba</w:t>
      </w:r>
      <w:proofErr w:type="spellEnd"/>
      <w:r>
        <w:rPr>
          <w:color w:val="FF0000"/>
        </w:rPr>
        <w:t xml:space="preserve"> or Dresselhaus type, although it governs spin relaxation, dephasing, and the electric control of spins. We omit it since the associated energy is typically small compared with the exchange and Zeeman energies in GaAs and Si double quantum dots [15]. In particular, its inclusion turns the singlet-triplet crossing into an </w:t>
      </w:r>
      <w:proofErr w:type="spellStart"/>
      <w:r>
        <w:rPr>
          <w:color w:val="FF0000"/>
        </w:rPr>
        <w:t>anticrossing</w:t>
      </w:r>
      <w:proofErr w:type="spellEnd"/>
      <w:r>
        <w:rPr>
          <w:color w:val="FF0000"/>
        </w:rPr>
        <w:t>. This extension is left for future work.</w:t>
      </w:r>
    </w:p>
    <w:p w14:paraId="5FA7CF6F" w14:textId="77777777" w:rsidR="002F7A28" w:rsidRDefault="001B5D52" w:rsidP="002F7A28">
      <w:pPr>
        <w:pStyle w:val="heading1"/>
      </w:pPr>
      <w:r w:rsidRPr="001B5D52">
        <w:t xml:space="preserve">Single-Particle Spin Hamiltonian and Its </w:t>
      </w:r>
      <w:proofErr w:type="spellStart"/>
      <w:r w:rsidRPr="001B5D52">
        <w:t>Eigenspinors</w:t>
      </w:r>
      <w:proofErr w:type="spellEnd"/>
    </w:p>
    <w:p w14:paraId="43CDC977" w14:textId="77777777" w:rsidR="001B5D52" w:rsidRPr="00B35CE0" w:rsidRDefault="001B5D52" w:rsidP="001B5D52">
      <w:pPr>
        <w:spacing w:line="240" w:lineRule="auto"/>
        <w:ind w:firstLine="360"/>
        <w:rPr>
          <w:bCs/>
        </w:rPr>
      </w:pPr>
      <w:r w:rsidRPr="00B35CE0">
        <w:rPr>
          <w:bCs/>
        </w:rPr>
        <w:t>We now turn to the stationary regime. For a constant magnetic field, the Hamiltonian appearing in Eq. (1) splits into a term acting on the spin degree of freedom and a term acting on the orbital motion, each of which may be displayed in explicit matrix form. The spin contribution reads</w:t>
      </w:r>
    </w:p>
    <w:p w14:paraId="48B6A289" w14:textId="77777777" w:rsidR="001B5D52" w:rsidRPr="00B35CE0" w:rsidRDefault="00B27F21" w:rsidP="001B5D52">
      <w:pPr>
        <w:tabs>
          <w:tab w:val="left" w:pos="2520"/>
          <w:tab w:val="left" w:pos="6480"/>
          <w:tab w:val="left" w:pos="8910"/>
        </w:tabs>
        <w:spacing w:before="240" w:line="240" w:lineRule="auto"/>
        <w:rPr>
          <w:bCs/>
        </w:rPr>
      </w:pPr>
      <w:r w:rsidRPr="00B35CE0">
        <w:rPr>
          <w:bCs/>
          <w:noProof/>
          <w:position w:val="-28"/>
        </w:rPr>
        <w:object w:dxaOrig="3840" w:dyaOrig="660" w14:anchorId="744C4F10">
          <v:shape id="_x0000_i1044" type="#_x0000_t75" alt="" style="width:192pt;height:33.25pt;mso-width-percent:0;mso-height-percent:0;mso-width-percent:0;mso-height-percent:0" o:ole="">
            <v:imagedata r:id="rId43" o:title=""/>
          </v:shape>
          <o:OLEObject Type="Embed" ProgID="Equation.DSMT4" ShapeID="_x0000_i1044" DrawAspect="Content" ObjectID="_1851521539" r:id="rId44"/>
        </w:object>
      </w:r>
      <w:r w:rsidR="001B5D52" w:rsidRPr="00B35CE0">
        <w:rPr>
          <w:bCs/>
        </w:rPr>
        <w:tab/>
        <w:t>(2)</w:t>
      </w:r>
    </w:p>
    <w:p w14:paraId="2186467A" w14:textId="77777777" w:rsidR="001B5D52" w:rsidRPr="00B35CE0" w:rsidRDefault="001B5D52" w:rsidP="001B5D52">
      <w:pPr>
        <w:spacing w:line="240" w:lineRule="auto"/>
        <w:rPr>
          <w:bCs/>
        </w:rPr>
      </w:pPr>
      <w:r w:rsidRPr="00B35CE0">
        <w:rPr>
          <w:bCs/>
        </w:rPr>
        <w:t>while the orbital contribution is given by</w:t>
      </w:r>
    </w:p>
    <w:p w14:paraId="374A6E98" w14:textId="77777777" w:rsidR="001B5D52" w:rsidRPr="00B35CE0" w:rsidRDefault="00B27F21" w:rsidP="001B5D52">
      <w:pPr>
        <w:tabs>
          <w:tab w:val="left" w:pos="1440"/>
          <w:tab w:val="left" w:pos="6480"/>
          <w:tab w:val="left" w:pos="8910"/>
        </w:tabs>
        <w:spacing w:before="240" w:line="240" w:lineRule="auto"/>
        <w:ind w:left="227" w:firstLine="0"/>
        <w:rPr>
          <w:bCs/>
        </w:rPr>
      </w:pPr>
      <w:r w:rsidRPr="00B35CE0">
        <w:rPr>
          <w:bCs/>
          <w:noProof/>
          <w:position w:val="-50"/>
        </w:rPr>
        <w:object w:dxaOrig="5500" w:dyaOrig="1100" w14:anchorId="2A235CCD">
          <v:shape id="_x0000_i1045" type="#_x0000_t75" alt="" style="width:275pt;height:55.1pt;mso-width-percent:0;mso-height-percent:0;mso-width-percent:0;mso-height-percent:0" o:ole="">
            <v:imagedata r:id="rId45" o:title=""/>
          </v:shape>
          <o:OLEObject Type="Embed" ProgID="Equation.DSMT4" ShapeID="_x0000_i1045" DrawAspect="Content" ObjectID="_1851521540" r:id="rId46"/>
        </w:object>
      </w:r>
      <w:r w:rsidR="001B5D52" w:rsidRPr="00B35CE0">
        <w:rPr>
          <w:bCs/>
        </w:rPr>
        <w:tab/>
        <w:t>(3)</w:t>
      </w:r>
    </w:p>
    <w:p w14:paraId="3D818081" w14:textId="77777777" w:rsidR="001B5D52" w:rsidRPr="00B35CE0" w:rsidRDefault="001B5D52" w:rsidP="001B5D52">
      <w:pPr>
        <w:tabs>
          <w:tab w:val="left" w:pos="3780"/>
          <w:tab w:val="left" w:pos="9000"/>
        </w:tabs>
        <w:spacing w:before="240" w:line="240" w:lineRule="auto"/>
        <w:ind w:firstLine="360"/>
        <w:rPr>
          <w:bCs/>
        </w:rPr>
      </w:pPr>
      <w:r w:rsidRPr="00B35CE0">
        <w:rPr>
          <w:bCs/>
        </w:rPr>
        <w:t xml:space="preserve">Taken together, these two pieces constitute the total Hamiltonian </w:t>
      </w:r>
      <w:r w:rsidR="00B27F21" w:rsidRPr="00B35CE0">
        <w:rPr>
          <w:bCs/>
          <w:noProof/>
          <w:position w:val="-12"/>
        </w:rPr>
        <w:object w:dxaOrig="1260" w:dyaOrig="320" w14:anchorId="3E0BABDC">
          <v:shape id="_x0000_i1046" type="#_x0000_t75" alt="" style="width:63.25pt;height:15.8pt;mso-width-percent:0;mso-height-percent:0;mso-width-percent:0;mso-height-percent:0" o:ole="">
            <v:imagedata r:id="rId47" o:title=""/>
          </v:shape>
          <o:OLEObject Type="Embed" ProgID="Equation.DSMT4" ShapeID="_x0000_i1046" DrawAspect="Content" ObjectID="_1851521541" r:id="rId48"/>
        </w:object>
      </w:r>
      <w:r w:rsidRPr="00B35CE0">
        <w:rPr>
          <w:bCs/>
        </w:rPr>
        <w:t xml:space="preserve"> so that a stationary state factorizes into spin and spatial factors according to </w:t>
      </w:r>
      <w:r w:rsidR="00B27F21" w:rsidRPr="00B35CE0">
        <w:rPr>
          <w:bCs/>
          <w:noProof/>
          <w:position w:val="-14"/>
        </w:rPr>
        <w:object w:dxaOrig="1780" w:dyaOrig="380" w14:anchorId="0D3C29F1">
          <v:shape id="_x0000_i1047" type="#_x0000_t75" alt="" style="width:88.9pt;height:19.1pt;mso-width-percent:0;mso-height-percent:0;mso-width-percent:0;mso-height-percent:0" o:ole="">
            <v:imagedata r:id="rId49" o:title=""/>
          </v:shape>
          <o:OLEObject Type="Embed" ProgID="Equation.DSMT4" ShapeID="_x0000_i1047" DrawAspect="Content" ObjectID="_1851521542" r:id="rId50"/>
        </w:object>
      </w:r>
      <w:r w:rsidRPr="00B35CE0">
        <w:rPr>
          <w:bCs/>
        </w:rPr>
        <w:t xml:space="preserve"> and the associated energy separates correspondingly as </w:t>
      </w:r>
      <w:r w:rsidR="00B27F21" w:rsidRPr="00B35CE0">
        <w:rPr>
          <w:bCs/>
          <w:noProof/>
          <w:position w:val="-12"/>
        </w:rPr>
        <w:object w:dxaOrig="1500" w:dyaOrig="320" w14:anchorId="12B7B74C">
          <v:shape id="_x0000_i1048" type="#_x0000_t75" alt="" style="width:75.2pt;height:15.8pt;mso-width-percent:0;mso-height-percent:0;mso-width-percent:0;mso-height-percent:0" o:ole="">
            <v:imagedata r:id="rId51" o:title=""/>
          </v:shape>
          <o:OLEObject Type="Embed" ProgID="Equation.DSMT4" ShapeID="_x0000_i1048" DrawAspect="Content" ObjectID="_1851521543" r:id="rId52"/>
        </w:object>
      </w:r>
    </w:p>
    <w:p w14:paraId="2C2BB30D" w14:textId="77777777" w:rsidR="001B5D52" w:rsidRPr="00B35CE0" w:rsidRDefault="001B5D52" w:rsidP="001B5D52">
      <w:pPr>
        <w:tabs>
          <w:tab w:val="left" w:pos="3780"/>
          <w:tab w:val="left" w:pos="9000"/>
        </w:tabs>
        <w:spacing w:line="240" w:lineRule="auto"/>
        <w:ind w:firstLine="360"/>
        <w:rPr>
          <w:bCs/>
        </w:rPr>
      </w:pPr>
      <w:r w:rsidRPr="00B35CE0">
        <w:rPr>
          <w:bCs/>
        </w:rPr>
        <w:t xml:space="preserve">It remains to fix the field configuration. We let the magnetic vector potential depend on a single spatial variable, </w:t>
      </w:r>
      <w:r w:rsidR="00B27F21" w:rsidRPr="00B35CE0">
        <w:rPr>
          <w:bCs/>
          <w:noProof/>
          <w:position w:val="-12"/>
        </w:rPr>
        <w:object w:dxaOrig="840" w:dyaOrig="360" w14:anchorId="4F182F77">
          <v:shape id="_x0000_i1049" type="#_x0000_t75" alt="" style="width:42pt;height:18pt;mso-width-percent:0;mso-height-percent:0;mso-width-percent:0;mso-height-percent:0" o:ole="">
            <v:imagedata r:id="rId53" o:title=""/>
          </v:shape>
          <o:OLEObject Type="Embed" ProgID="Equation.DSMT4" ShapeID="_x0000_i1049" DrawAspect="Content" ObjectID="_1851521544" r:id="rId54"/>
        </w:object>
      </w:r>
      <w:r w:rsidRPr="00B35CE0">
        <w:rPr>
          <w:bCs/>
        </w:rPr>
        <w:t xml:space="preserve"> and require it to comply with the Coulomb gauge condition </w:t>
      </w:r>
      <w:r w:rsidR="00B27F21" w:rsidRPr="00B35CE0">
        <w:rPr>
          <w:bCs/>
          <w:noProof/>
          <w:position w:val="-6"/>
        </w:rPr>
        <w:object w:dxaOrig="800" w:dyaOrig="300" w14:anchorId="0A0EC685">
          <v:shape id="_x0000_i1050" type="#_x0000_t75" alt="" style="width:39.8pt;height:14.75pt;mso-width-percent:0;mso-height-percent:0;mso-width-percent:0;mso-height-percent:0" o:ole="">
            <v:imagedata r:id="rId55" o:title=""/>
          </v:shape>
          <o:OLEObject Type="Embed" ProgID="Equation.DSMT4" ShapeID="_x0000_i1050" DrawAspect="Content" ObjectID="_1851521545" r:id="rId56"/>
        </w:object>
      </w:r>
      <w:r w:rsidRPr="00B35CE0">
        <w:rPr>
          <w:bCs/>
        </w:rPr>
        <w:t xml:space="preserve"> A choice meeting both conditions is </w:t>
      </w:r>
      <w:r w:rsidR="00B27F21" w:rsidRPr="00B35CE0">
        <w:rPr>
          <w:bCs/>
          <w:noProof/>
          <w:position w:val="-12"/>
        </w:rPr>
        <w:object w:dxaOrig="1660" w:dyaOrig="380" w14:anchorId="34DEC37A">
          <v:shape id="_x0000_i1051" type="#_x0000_t75" alt="" style="width:82.9pt;height:19.1pt;mso-width-percent:0;mso-height-percent:0;mso-width-percent:0;mso-height-percent:0" o:ole="">
            <v:imagedata r:id="rId57" o:title=""/>
          </v:shape>
          <o:OLEObject Type="Embed" ProgID="Equation.DSMT4" ShapeID="_x0000_i1051" DrawAspect="Content" ObjectID="_1851521546" r:id="rId58"/>
        </w:object>
      </w:r>
      <w:r w:rsidRPr="00B35CE0">
        <w:rPr>
          <w:bCs/>
        </w:rPr>
        <w:t xml:space="preserve"> whose curl produces the uniform field </w:t>
      </w:r>
      <w:r w:rsidR="00B27F21" w:rsidRPr="00B35CE0">
        <w:rPr>
          <w:bCs/>
          <w:noProof/>
          <w:position w:val="-12"/>
        </w:rPr>
        <w:object w:dxaOrig="2340" w:dyaOrig="380" w14:anchorId="3BF152C0">
          <v:shape id="_x0000_i1052" type="#_x0000_t75" alt="" style="width:117.25pt;height:19.1pt;mso-width-percent:0;mso-height-percent:0;mso-width-percent:0;mso-height-percent:0" o:ole="">
            <v:imagedata r:id="rId59" o:title=""/>
          </v:shape>
          <o:OLEObject Type="Embed" ProgID="Equation.DSMT4" ShapeID="_x0000_i1052" DrawAspect="Content" ObjectID="_1851521547" r:id="rId60"/>
        </w:object>
      </w:r>
      <w:r w:rsidRPr="00B35CE0">
        <w:rPr>
          <w:bCs/>
        </w:rPr>
        <w:t xml:space="preserve"> Written in spherical form, the Cartesian components are </w:t>
      </w:r>
      <w:r w:rsidR="00B27F21" w:rsidRPr="00B35CE0">
        <w:rPr>
          <w:bCs/>
          <w:noProof/>
          <w:position w:val="-10"/>
        </w:rPr>
        <w:object w:dxaOrig="1579" w:dyaOrig="300" w14:anchorId="5ED909BD">
          <v:shape id="_x0000_i1053" type="#_x0000_t75" alt="" style="width:79.1pt;height:15.25pt;mso-width-percent:0;mso-height-percent:0;mso-width-percent:0;mso-height-percent:0" o:ole="">
            <v:imagedata r:id="rId61" o:title=""/>
          </v:shape>
          <o:OLEObject Type="Embed" ProgID="Equation.DSMT4" ShapeID="_x0000_i1053" DrawAspect="Content" ObjectID="_1851521548" r:id="rId62"/>
        </w:object>
      </w:r>
      <w:r w:rsidRPr="00B35CE0">
        <w:rPr>
          <w:bCs/>
        </w:rPr>
        <w:t xml:space="preserve"> </w:t>
      </w:r>
      <w:r w:rsidR="00B27F21" w:rsidRPr="00B35CE0">
        <w:rPr>
          <w:bCs/>
          <w:noProof/>
          <w:position w:val="-12"/>
        </w:rPr>
        <w:object w:dxaOrig="1540" w:dyaOrig="320" w14:anchorId="3EE3D8A8">
          <v:shape id="_x0000_i1054" type="#_x0000_t75" alt="" style="width:76.9pt;height:15.8pt;mso-width-percent:0;mso-height-percent:0;mso-width-percent:0;mso-height-percent:0" o:ole="">
            <v:imagedata r:id="rId63" o:title=""/>
          </v:shape>
          <o:OLEObject Type="Embed" ProgID="Equation.DSMT4" ShapeID="_x0000_i1054" DrawAspect="Content" ObjectID="_1851521549" r:id="rId64"/>
        </w:object>
      </w:r>
      <w:r w:rsidRPr="00B35CE0">
        <w:rPr>
          <w:bCs/>
        </w:rPr>
        <w:t xml:space="preserve"> and </w:t>
      </w:r>
      <w:r w:rsidR="00B27F21" w:rsidRPr="00B35CE0">
        <w:rPr>
          <w:bCs/>
          <w:noProof/>
          <w:position w:val="-10"/>
        </w:rPr>
        <w:object w:dxaOrig="1160" w:dyaOrig="300" w14:anchorId="653CAA53">
          <v:shape id="_x0000_i1055" type="#_x0000_t75" alt="" style="width:57.85pt;height:15.25pt;mso-width-percent:0;mso-height-percent:0;mso-width-percent:0;mso-height-percent:0" o:ole="">
            <v:imagedata r:id="rId65" o:title=""/>
          </v:shape>
          <o:OLEObject Type="Embed" ProgID="Equation.DSMT4" ShapeID="_x0000_i1055" DrawAspect="Content" ObjectID="_1851521550" r:id="rId66"/>
        </w:object>
      </w:r>
      <w:r w:rsidRPr="00B35CE0">
        <w:rPr>
          <w:bCs/>
        </w:rPr>
        <w:t xml:space="preserve"> from which one sees that the field </w:t>
      </w:r>
      <w:r w:rsidR="00B27F21" w:rsidRPr="00B35CE0">
        <w:rPr>
          <w:bCs/>
          <w:noProof/>
          <w:position w:val="-4"/>
        </w:rPr>
        <w:object w:dxaOrig="220" w:dyaOrig="279" w14:anchorId="4D4A54C9">
          <v:shape id="_x0000_i1056" type="#_x0000_t75" alt="" style="width:10.9pt;height:13.65pt;mso-width-percent:0;mso-height-percent:0;mso-width-percent:0;mso-height-percent:0" o:ole="">
            <v:imagedata r:id="rId67" o:title=""/>
          </v:shape>
          <o:OLEObject Type="Embed" ProgID="Equation.DSMT4" ShapeID="_x0000_i1056" DrawAspect="Content" ObjectID="_1851521551" r:id="rId68"/>
        </w:object>
      </w:r>
      <w:r w:rsidRPr="00B35CE0">
        <w:rPr>
          <w:bCs/>
        </w:rPr>
        <w:t xml:space="preserve"> adopted here corresponds to the fixed orientation </w:t>
      </w:r>
      <w:r w:rsidR="00B27F21" w:rsidRPr="00B35CE0">
        <w:rPr>
          <w:bCs/>
          <w:noProof/>
          <w:position w:val="-10"/>
        </w:rPr>
        <w:object w:dxaOrig="700" w:dyaOrig="300" w14:anchorId="45F5B6A9">
          <v:shape id="_x0000_i1057" type="#_x0000_t75" alt="" style="width:34.9pt;height:14.75pt;mso-width-percent:0;mso-height-percent:0;mso-width-percent:0;mso-height-percent:0" o:ole="">
            <v:imagedata r:id="rId69" o:title=""/>
          </v:shape>
          <o:OLEObject Type="Embed" ProgID="Equation.DSMT4" ShapeID="_x0000_i1057" DrawAspect="Content" ObjectID="_1851521552" r:id="rId70"/>
        </w:object>
      </w:r>
      <w:r w:rsidRPr="00B35CE0">
        <w:rPr>
          <w:bCs/>
        </w:rPr>
        <w:t xml:space="preserve"> and </w:t>
      </w:r>
      <w:r w:rsidR="00B27F21" w:rsidRPr="00B35CE0">
        <w:rPr>
          <w:bCs/>
          <w:noProof/>
          <w:position w:val="-10"/>
        </w:rPr>
        <w:object w:dxaOrig="859" w:dyaOrig="300" w14:anchorId="2AD1B89B">
          <v:shape id="_x0000_i1058" type="#_x0000_t75" alt="" style="width:43.1pt;height:14.75pt;mso-width-percent:0;mso-height-percent:0;mso-width-percent:0;mso-height-percent:0" o:ole="">
            <v:imagedata r:id="rId71" o:title=""/>
          </v:shape>
          <o:OLEObject Type="Embed" ProgID="Equation.DSMT4" ShapeID="_x0000_i1058" DrawAspect="Content" ObjectID="_1851521553" r:id="rId72"/>
        </w:object>
      </w:r>
      <w:r w:rsidRPr="00B35CE0">
        <w:rPr>
          <w:bCs/>
        </w:rPr>
        <w:t xml:space="preserve"> with magnitude </w:t>
      </w:r>
      <w:r w:rsidR="00B27F21" w:rsidRPr="00B35CE0">
        <w:rPr>
          <w:bCs/>
          <w:noProof/>
          <w:position w:val="-10"/>
        </w:rPr>
        <w:object w:dxaOrig="980" w:dyaOrig="340" w14:anchorId="00D1FADC">
          <v:shape id="_x0000_i1059" type="#_x0000_t75" alt="" style="width:49.1pt;height:16.9pt;mso-width-percent:0;mso-height-percent:0;mso-width-percent:0;mso-height-percent:0" o:ole="">
            <v:imagedata r:id="rId73" o:title=""/>
          </v:shape>
          <o:OLEObject Type="Embed" ProgID="Equation.DSMT4" ShapeID="_x0000_i1059" DrawAspect="Content" ObjectID="_1851521554" r:id="rId74"/>
        </w:object>
      </w:r>
      <w:r w:rsidRPr="00B35CE0">
        <w:rPr>
          <w:bCs/>
        </w:rPr>
        <w:t xml:space="preserve"> Unless indicated otherwise, </w:t>
      </w:r>
      <w:r w:rsidR="00B27F21" w:rsidRPr="00B35CE0">
        <w:rPr>
          <w:bCs/>
          <w:noProof/>
          <w:position w:val="-6"/>
        </w:rPr>
        <w:object w:dxaOrig="180" w:dyaOrig="240" w14:anchorId="51A9B6EE">
          <v:shape id="_x0000_i1060" type="#_x0000_t75" alt="" style="width:9.25pt;height:12pt;mso-width-percent:0;mso-height-percent:0;mso-width-percent:0;mso-height-percent:0" o:ole="">
            <v:imagedata r:id="rId75" o:title=""/>
          </v:shape>
          <o:OLEObject Type="Embed" ProgID="Equation.DSMT4" ShapeID="_x0000_i1060" DrawAspect="Content" ObjectID="_1851521555" r:id="rId76"/>
        </w:object>
      </w:r>
      <w:r w:rsidRPr="00B35CE0">
        <w:rPr>
          <w:bCs/>
        </w:rPr>
        <w:t xml:space="preserve"> and </w:t>
      </w:r>
      <w:r w:rsidR="00B27F21" w:rsidRPr="00B35CE0">
        <w:rPr>
          <w:bCs/>
          <w:noProof/>
          <w:position w:val="-10"/>
        </w:rPr>
        <w:object w:dxaOrig="180" w:dyaOrig="279" w14:anchorId="215CDF50">
          <v:shape id="_x0000_i1061" type="#_x0000_t75" alt="" style="width:9.25pt;height:13.65pt;mso-width-percent:0;mso-height-percent:0;mso-width-percent:0;mso-height-percent:0" o:ole="">
            <v:imagedata r:id="rId77" o:title=""/>
          </v:shape>
          <o:OLEObject Type="Embed" ProgID="Equation.DSMT4" ShapeID="_x0000_i1061" DrawAspect="Content" ObjectID="_1851521556" r:id="rId78"/>
        </w:object>
      </w:r>
      <w:r w:rsidRPr="00B35CE0">
        <w:rPr>
          <w:bCs/>
        </w:rPr>
        <w:t xml:space="preserve"> retain these values throughout the discussion that follows.</w:t>
      </w:r>
    </w:p>
    <w:p w14:paraId="2380B990" w14:textId="77777777" w:rsidR="001B5D52" w:rsidRPr="00B35CE0" w:rsidRDefault="001B5D52" w:rsidP="001B5D52">
      <w:pPr>
        <w:tabs>
          <w:tab w:val="left" w:pos="3780"/>
          <w:tab w:val="left" w:pos="9000"/>
        </w:tabs>
        <w:spacing w:line="240" w:lineRule="auto"/>
        <w:ind w:firstLine="360"/>
        <w:rPr>
          <w:bCs/>
        </w:rPr>
      </w:pPr>
      <w:r w:rsidRPr="00B35CE0">
        <w:rPr>
          <w:bCs/>
        </w:rPr>
        <w:t xml:space="preserve">Since our interest is confined to the spin sector, we retain only the eigenvalue problem </w:t>
      </w:r>
      <w:r w:rsidR="00B27F21" w:rsidRPr="00B35CE0">
        <w:rPr>
          <w:bCs/>
          <w:noProof/>
          <w:position w:val="-14"/>
        </w:rPr>
        <w:object w:dxaOrig="2060" w:dyaOrig="380" w14:anchorId="28C0D851">
          <v:shape id="_x0000_i1062" type="#_x0000_t75" alt="" style="width:103.1pt;height:19.1pt;mso-width-percent:0;mso-height-percent:0;mso-width-percent:0;mso-height-percent:0" o:ole="">
            <v:imagedata r:id="rId79" o:title=""/>
          </v:shape>
          <o:OLEObject Type="Embed" ProgID="Equation.DSMT4" ShapeID="_x0000_i1062" DrawAspect="Content" ObjectID="_1851521557" r:id="rId80"/>
        </w:object>
      </w:r>
      <w:r w:rsidRPr="00B35CE0">
        <w:rPr>
          <w:bCs/>
        </w:rPr>
        <w:t xml:space="preserve"> Diagonalizing the matrix of Eq. (2) for the field orientation fixed above, we obtain the eigenvalues and the corresponding </w:t>
      </w:r>
      <w:proofErr w:type="spellStart"/>
      <w:r w:rsidRPr="00B35CE0">
        <w:rPr>
          <w:bCs/>
        </w:rPr>
        <w:t>eigenspinors</w:t>
      </w:r>
      <w:proofErr w:type="spellEnd"/>
      <w:r w:rsidRPr="00B35CE0">
        <w:rPr>
          <w:bCs/>
        </w:rPr>
        <w:t>:</w:t>
      </w:r>
    </w:p>
    <w:p w14:paraId="1C5B99DD" w14:textId="77777777" w:rsidR="001B5D52" w:rsidRPr="00B35CE0" w:rsidRDefault="00B27F21" w:rsidP="00A84351">
      <w:pPr>
        <w:tabs>
          <w:tab w:val="left" w:pos="2700"/>
          <w:tab w:val="left" w:pos="6480"/>
          <w:tab w:val="left" w:pos="8910"/>
        </w:tabs>
        <w:spacing w:before="240" w:after="240" w:line="240" w:lineRule="auto"/>
        <w:rPr>
          <w:bCs/>
        </w:rPr>
      </w:pPr>
      <w:r w:rsidRPr="00B35CE0">
        <w:rPr>
          <w:bCs/>
          <w:noProof/>
          <w:position w:val="-60"/>
        </w:rPr>
        <w:object w:dxaOrig="3220" w:dyaOrig="1300" w14:anchorId="18D91E2D">
          <v:shape id="_x0000_i1063" type="#_x0000_t75" alt="" style="width:160.85pt;height:64.85pt;mso-width-percent:0;mso-height-percent:0;mso-width-percent:0;mso-height-percent:0" o:ole="">
            <v:imagedata r:id="rId81" o:title=""/>
          </v:shape>
          <o:OLEObject Type="Embed" ProgID="Equation.DSMT4" ShapeID="_x0000_i1063" DrawAspect="Content" ObjectID="_1851521558" r:id="rId82"/>
        </w:object>
      </w:r>
      <w:r w:rsidR="001B5D52" w:rsidRPr="00B35CE0">
        <w:rPr>
          <w:bCs/>
        </w:rPr>
        <w:tab/>
        <w:t>(4)</w:t>
      </w:r>
    </w:p>
    <w:p w14:paraId="012A70E1" w14:textId="77777777" w:rsidR="00CE6241" w:rsidRDefault="001B5D52" w:rsidP="001B5D52">
      <w:pPr>
        <w:spacing w:line="240" w:lineRule="auto"/>
        <w:ind w:firstLine="360"/>
      </w:pPr>
      <w:r w:rsidRPr="00B35CE0">
        <w:rPr>
          <w:bCs/>
        </w:rPr>
        <w:t xml:space="preserve">The label </w:t>
      </w:r>
      <w:r w:rsidR="00B27F21" w:rsidRPr="00B35CE0">
        <w:rPr>
          <w:bCs/>
          <w:noProof/>
          <w:position w:val="-12"/>
        </w:rPr>
        <w:object w:dxaOrig="480" w:dyaOrig="340" w14:anchorId="6D7FF85E">
          <v:shape id="_x0000_i1064" type="#_x0000_t75" alt="" style="width:24pt;height:16.9pt;mso-width-percent:0;mso-height-percent:0;mso-width-percent:0;mso-height-percent:0" o:ole="">
            <v:imagedata r:id="rId83" o:title=""/>
          </v:shape>
          <o:OLEObject Type="Embed" ProgID="Equation.DSMT4" ShapeID="_x0000_i1064" DrawAspect="Content" ObjectID="_1851521559" r:id="rId84"/>
        </w:object>
      </w:r>
      <w:r w:rsidRPr="00B35CE0">
        <w:rPr>
          <w:bCs/>
        </w:rPr>
        <w:t xml:space="preserve"> identifies the spin-up (spin-down) state. The two </w:t>
      </w:r>
      <w:proofErr w:type="spellStart"/>
      <w:r w:rsidRPr="00B35CE0">
        <w:rPr>
          <w:bCs/>
        </w:rPr>
        <w:t>eigenspinors</w:t>
      </w:r>
      <w:proofErr w:type="spellEnd"/>
      <w:r w:rsidRPr="00B35CE0">
        <w:rPr>
          <w:bCs/>
        </w:rPr>
        <w:t xml:space="preserve"> of Eq. (4) form an orthonormal pair, since </w:t>
      </w:r>
      <w:r w:rsidR="00B27F21" w:rsidRPr="00B35CE0">
        <w:rPr>
          <w:bCs/>
          <w:noProof/>
          <w:position w:val="-12"/>
        </w:rPr>
        <w:object w:dxaOrig="999" w:dyaOrig="340" w14:anchorId="16B54B22">
          <v:shape id="_x0000_i1065" type="#_x0000_t75" alt="" style="width:49.65pt;height:16.9pt;mso-width-percent:0;mso-height-percent:0;mso-width-percent:0;mso-height-percent:0" o:ole="">
            <v:imagedata r:id="rId85" o:title=""/>
          </v:shape>
          <o:OLEObject Type="Embed" ProgID="Equation.DSMT4" ShapeID="_x0000_i1065" DrawAspect="Content" ObjectID="_1851521560" r:id="rId86"/>
        </w:object>
      </w:r>
      <w:r w:rsidRPr="00B35CE0">
        <w:rPr>
          <w:bCs/>
        </w:rPr>
        <w:t xml:space="preserve"> and </w:t>
      </w:r>
      <w:r w:rsidR="00B27F21" w:rsidRPr="00B35CE0">
        <w:rPr>
          <w:bCs/>
          <w:noProof/>
          <w:position w:val="-14"/>
        </w:rPr>
        <w:object w:dxaOrig="1080" w:dyaOrig="380" w14:anchorId="60B3314F">
          <v:shape id="_x0000_i1066" type="#_x0000_t75" alt="" style="width:54pt;height:19.1pt;mso-width-percent:0;mso-height-percent:0;mso-width-percent:0;mso-height-percent:0" o:ole="">
            <v:imagedata r:id="rId87" o:title=""/>
          </v:shape>
          <o:OLEObject Type="Embed" ProgID="Equation.DSMT4" ShapeID="_x0000_i1066" DrawAspect="Content" ObjectID="_1851521561" r:id="rId88"/>
        </w:object>
      </w:r>
      <w:r w:rsidRPr="00B35CE0">
        <w:rPr>
          <w:bCs/>
        </w:rPr>
        <w:t xml:space="preserve"> </w:t>
      </w:r>
      <w:r w:rsidR="00AF7CBF">
        <w:rPr>
          <w:bCs/>
        </w:rPr>
        <w:t>Accordingly, they span the single-particle spin space completely</w:t>
      </w:r>
      <w:r w:rsidRPr="00B35CE0">
        <w:rPr>
          <w:bCs/>
        </w:rPr>
        <w:t xml:space="preserve"> and will serve as the building blocks for the bipartite construction developed in the next section.</w:t>
      </w:r>
    </w:p>
    <w:p w14:paraId="5439270D" w14:textId="77777777" w:rsidR="00C8799A" w:rsidRPr="00C8799A" w:rsidRDefault="00C8799A" w:rsidP="00C8799A">
      <w:pPr>
        <w:pStyle w:val="heading1"/>
      </w:pPr>
      <w:r w:rsidRPr="00C8799A">
        <w:t>Bipartite Spin Hamiltonian and the Singlet-Triplet Structure of a Double Quantum Dot</w:t>
      </w:r>
    </w:p>
    <w:p w14:paraId="2F9C0A39" w14:textId="77777777" w:rsidR="00C8799A" w:rsidRPr="00B35CE0" w:rsidRDefault="00C8799A" w:rsidP="00C8799A">
      <w:pPr>
        <w:tabs>
          <w:tab w:val="left" w:pos="2610"/>
          <w:tab w:val="left" w:pos="8910"/>
        </w:tabs>
        <w:spacing w:before="240" w:line="240" w:lineRule="auto"/>
        <w:ind w:firstLine="360"/>
        <w:rPr>
          <w:color w:val="000000" w:themeColor="text1"/>
        </w:rPr>
      </w:pPr>
      <w:r w:rsidRPr="00B35CE0">
        <w:rPr>
          <w:color w:val="000000" w:themeColor="text1"/>
        </w:rPr>
        <w:t>We now extend the treatment to a pair of interacting spin</w:t>
      </w:r>
      <w:r w:rsidR="00B27F21" w:rsidRPr="00B35CE0">
        <w:rPr>
          <w:noProof/>
          <w:color w:val="000000" w:themeColor="text1"/>
          <w:position w:val="-10"/>
        </w:rPr>
        <w:object w:dxaOrig="460" w:dyaOrig="300" w14:anchorId="61FCE328">
          <v:shape id="_x0000_i1067" type="#_x0000_t75" alt="" style="width:22.9pt;height:14.75pt;mso-width-percent:0;mso-height-percent:0;mso-width-percent:0;mso-height-percent:0" o:ole="">
            <v:imagedata r:id="rId89" o:title=""/>
          </v:shape>
          <o:OLEObject Type="Embed" ProgID="Equation.DSMT4" ShapeID="_x0000_i1067" DrawAspect="Content" ObjectID="_1851521562" r:id="rId90"/>
        </w:object>
      </w:r>
      <w:r w:rsidRPr="00B35CE0">
        <w:rPr>
          <w:color w:val="000000" w:themeColor="text1"/>
        </w:rPr>
        <w:t xml:space="preserve"> particles. Two things change relative to Section 3: each particle carries its own charge, and the two spins are no longer independent. The spatial and spin parts of the Hamiltonian read, respectively,</w:t>
      </w:r>
    </w:p>
    <w:p w14:paraId="1040EC40" w14:textId="06714D21" w:rsidR="00C8799A" w:rsidRPr="00B35CE0" w:rsidRDefault="00552271" w:rsidP="00C8799A">
      <w:pPr>
        <w:tabs>
          <w:tab w:val="left" w:pos="1170"/>
          <w:tab w:val="left" w:pos="6480"/>
          <w:tab w:val="left" w:pos="8910"/>
        </w:tabs>
        <w:spacing w:before="240" w:line="240" w:lineRule="auto"/>
        <w:ind w:left="227" w:firstLine="0"/>
        <w:rPr>
          <w:bCs/>
        </w:rPr>
      </w:pPr>
      <w:r w:rsidRPr="00ED1BF8">
        <w:rPr>
          <w:bCs/>
          <w:position w:val="-54"/>
        </w:rPr>
        <w:object w:dxaOrig="5260" w:dyaOrig="1180" w14:anchorId="1D2DF088">
          <v:shape id="_x0000_i1103" type="#_x0000_t75" style="width:263pt;height:59.05pt" o:ole="">
            <v:imagedata r:id="rId91" o:title=""/>
          </v:shape>
          <o:OLEObject Type="Embed" ProgID="Equation.DSMT4" ShapeID="_x0000_i1103" DrawAspect="Content" ObjectID="_1851521563" r:id="rId92"/>
        </w:object>
      </w:r>
      <w:r w:rsidR="00C8799A" w:rsidRPr="00B35CE0">
        <w:rPr>
          <w:bCs/>
        </w:rPr>
        <w:tab/>
        <w:t>(5)</w:t>
      </w:r>
    </w:p>
    <w:p w14:paraId="25B407ED" w14:textId="1E9402D1" w:rsidR="00C8799A" w:rsidRPr="00B35CE0" w:rsidRDefault="00C8799A" w:rsidP="00C8799A">
      <w:pPr>
        <w:tabs>
          <w:tab w:val="left" w:pos="567"/>
          <w:tab w:val="left" w:pos="2250"/>
          <w:tab w:val="left" w:pos="8910"/>
        </w:tabs>
        <w:spacing w:before="240" w:line="240" w:lineRule="auto"/>
        <w:ind w:firstLine="360"/>
        <w:rPr>
          <w:color w:val="000000" w:themeColor="text1"/>
        </w:rPr>
      </w:pPr>
      <w:r>
        <w:rPr>
          <w:bCs/>
        </w:rPr>
        <w:t xml:space="preserve">Here </w:t>
      </w:r>
      <w:r w:rsidR="00B27F21" w:rsidRPr="00B35CE0">
        <w:rPr>
          <w:bCs/>
          <w:noProof/>
          <w:position w:val="-12"/>
        </w:rPr>
        <w:object w:dxaOrig="580" w:dyaOrig="320" w14:anchorId="6D78D966">
          <v:shape id="_x0000_i1068" type="#_x0000_t75" alt="" style="width:28.9pt;height:15.8pt;mso-width-percent:0;mso-height-percent:0;mso-width-percent:0;mso-height-percent:0" o:ole="">
            <v:imagedata r:id="rId93" o:title=""/>
          </v:shape>
          <o:OLEObject Type="Embed" ProgID="Equation.DSMT4" ShapeID="_x0000_i1068" DrawAspect="Content" ObjectID="_1851521564" r:id="rId94"/>
        </w:object>
      </w:r>
      <w:r>
        <w:rPr>
          <w:bCs/>
        </w:rPr>
        <w:t xml:space="preserve"> carries, besides the kinetic and external-potential terms, the Coulomb interaction between the two charges</w:t>
      </w:r>
      <w:r>
        <w:rPr>
          <w:bCs/>
          <w:color w:val="0000FF"/>
        </w:rPr>
        <w:t xml:space="preserve">, where </w:t>
      </w:r>
      <w:r w:rsidR="007D284F" w:rsidRPr="007D284F">
        <w:rPr>
          <w:bCs/>
          <w:color w:val="0000FF"/>
          <w:position w:val="-6"/>
        </w:rPr>
        <w:object w:dxaOrig="180" w:dyaOrig="260" w14:anchorId="12AF84C0">
          <v:shape id="_x0000_i1153" type="#_x0000_t75" style="width:9pt;height:13pt" o:ole="">
            <v:imagedata r:id="rId95" o:title=""/>
          </v:shape>
          <o:OLEObject Type="Embed" ProgID="Equation.DSMT4" ShapeID="_x0000_i1153" DrawAspect="Content" ObjectID="_1851521565" r:id="rId96"/>
        </w:object>
      </w:r>
      <w:r>
        <w:rPr>
          <w:bCs/>
          <w:color w:val="0000FF"/>
        </w:rPr>
        <w:t xml:space="preserve"> denotes the Coulomb constant</w:t>
      </w:r>
      <w:r>
        <w:rPr>
          <w:bCs/>
        </w:rPr>
        <w:t xml:space="preserve">; as anticipated in Section 1, that term lives entirely in the spatial sector and plays no part in what follows. The spin operator </w:t>
      </w:r>
      <w:r w:rsidR="00B27F21" w:rsidRPr="00B35CE0">
        <w:rPr>
          <w:bCs/>
          <w:noProof/>
          <w:position w:val="-12"/>
        </w:rPr>
        <w:object w:dxaOrig="440" w:dyaOrig="320" w14:anchorId="04102F2E">
          <v:shape id="_x0000_i1069" type="#_x0000_t75" alt="" style="width:21.8pt;height:15.8pt;mso-width-percent:0;mso-height-percent:0;mso-width-percent:0;mso-height-percent:0" o:ole="">
            <v:imagedata r:id="rId97" o:title=""/>
          </v:shape>
          <o:OLEObject Type="Embed" ProgID="Equation.DSMT4" ShapeID="_x0000_i1069" DrawAspect="Content" ObjectID="_1851521566" r:id="rId98"/>
        </w:object>
      </w:r>
      <w:r>
        <w:rPr>
          <w:bCs/>
        </w:rPr>
        <w:t xml:space="preserve"> is the object of interest. It describes two spin</w:t>
      </w:r>
      <w:r w:rsidR="00B27F21" w:rsidRPr="00B35CE0">
        <w:rPr>
          <w:bCs/>
          <w:noProof/>
          <w:position w:val="-10"/>
        </w:rPr>
        <w:object w:dxaOrig="460" w:dyaOrig="300" w14:anchorId="65B56AC1">
          <v:shape id="_x0000_i1070" type="#_x0000_t75" alt="" style="width:22.9pt;height:14.75pt;mso-width-percent:0;mso-height-percent:0;mso-width-percent:0;mso-height-percent:0" o:ole="">
            <v:imagedata r:id="rId99" o:title=""/>
          </v:shape>
          <o:OLEObject Type="Embed" ProgID="Equation.DSMT4" ShapeID="_x0000_i1070" DrawAspect="Content" ObjectID="_1851521567" r:id="rId100"/>
        </w:object>
      </w:r>
      <w:r>
        <w:rPr>
          <w:bCs/>
        </w:rPr>
        <w:t xml:space="preserve"> components whose individual effective Zeeman charges </w:t>
      </w:r>
      <w:r w:rsidR="00B27F21" w:rsidRPr="00B35CE0">
        <w:rPr>
          <w:bCs/>
          <w:noProof/>
          <w:position w:val="-10"/>
        </w:rPr>
        <w:object w:dxaOrig="220" w:dyaOrig="300" w14:anchorId="7FE63B99">
          <v:shape id="_x0000_i1071" type="#_x0000_t75" alt="" style="width:10.9pt;height:15.25pt;mso-width-percent:0;mso-height-percent:0;mso-width-percent:0;mso-height-percent:0" o:ole="">
            <v:imagedata r:id="rId101" o:title=""/>
          </v:shape>
          <o:OLEObject Type="Embed" ProgID="Equation.DSMT4" ShapeID="_x0000_i1071" DrawAspect="Content" ObjectID="_1851521568" r:id="rId102"/>
        </w:object>
      </w:r>
      <w:r>
        <w:rPr>
          <w:bCs/>
        </w:rPr>
        <w:t xml:space="preserve"> and </w:t>
      </w:r>
      <w:r w:rsidR="00B27F21" w:rsidRPr="00B35CE0">
        <w:rPr>
          <w:bCs/>
          <w:noProof/>
          <w:position w:val="-10"/>
        </w:rPr>
        <w:object w:dxaOrig="240" w:dyaOrig="300" w14:anchorId="7356F194">
          <v:shape id="_x0000_i1072" type="#_x0000_t75" alt="" style="width:12pt;height:15.25pt;mso-width-percent:0;mso-height-percent:0;mso-width-percent:0;mso-height-percent:0" o:ole="">
            <v:imagedata r:id="rId103" o:title=""/>
          </v:shape>
          <o:OLEObject Type="Embed" ProgID="Equation.DSMT4" ShapeID="_x0000_i1072" DrawAspect="Content" ObjectID="_1851521569" r:id="rId104"/>
        </w:object>
      </w:r>
      <w:r>
        <w:rPr>
          <w:bCs/>
        </w:rPr>
        <w:t xml:space="preserve"> couple separately to the external field </w:t>
      </w:r>
      <w:r w:rsidR="00B27F21" w:rsidRPr="00B35CE0">
        <w:rPr>
          <w:bCs/>
          <w:noProof/>
          <w:position w:val="-6"/>
        </w:rPr>
        <w:object w:dxaOrig="240" w:dyaOrig="300" w14:anchorId="642BD995">
          <v:shape id="_x0000_i1073" type="#_x0000_t75" alt="" style="width:12pt;height:15.25pt;mso-width-percent:0;mso-height-percent:0;mso-width-percent:0;mso-height-percent:0" o:ole="">
            <v:imagedata r:id="rId105" o:title=""/>
          </v:shape>
          <o:OLEObject Type="Embed" ProgID="Equation.DSMT4" ShapeID="_x0000_i1073" DrawAspect="Content" ObjectID="_1851521570" r:id="rId106"/>
        </w:object>
      </w:r>
      <w:r>
        <w:rPr>
          <w:bCs/>
        </w:rPr>
        <w:t xml:space="preserve"> </w:t>
      </w:r>
      <w:r>
        <w:rPr>
          <w:bCs/>
          <w:color w:val="0000FF"/>
        </w:rPr>
        <w:t xml:space="preserve">In terms of the effective g-factors </w:t>
      </w:r>
      <w:r w:rsidR="0039385E" w:rsidRPr="0039385E">
        <w:rPr>
          <w:bCs/>
          <w:color w:val="0000FF"/>
          <w:position w:val="-10"/>
        </w:rPr>
        <w:object w:dxaOrig="240" w:dyaOrig="300" w14:anchorId="6178504A">
          <v:shape id="_x0000_i1184" type="#_x0000_t75" style="width:12pt;height:15pt" o:ole="">
            <v:imagedata r:id="rId107" o:title=""/>
          </v:shape>
          <o:OLEObject Type="Embed" ProgID="Equation.DSMT4" ShapeID="_x0000_i1184" DrawAspect="Content" ObjectID="_1851521571" r:id="rId108"/>
        </w:object>
      </w:r>
      <w:r w:rsidR="0039385E">
        <w:rPr>
          <w:bCs/>
          <w:color w:val="0000FF"/>
        </w:rPr>
        <w:t xml:space="preserve"> </w:t>
      </w:r>
      <w:r>
        <w:rPr>
          <w:bCs/>
          <w:color w:val="0000FF"/>
        </w:rPr>
        <w:t xml:space="preserve">and </w:t>
      </w:r>
      <w:r w:rsidR="0039385E" w:rsidRPr="0039385E">
        <w:rPr>
          <w:bCs/>
          <w:color w:val="0000FF"/>
          <w:position w:val="-10"/>
        </w:rPr>
        <w:object w:dxaOrig="260" w:dyaOrig="300" w14:anchorId="35BEF5CF">
          <v:shape id="_x0000_i1187" type="#_x0000_t75" style="width:13pt;height:15pt" o:ole="">
            <v:imagedata r:id="rId109" o:title=""/>
          </v:shape>
          <o:OLEObject Type="Embed" ProgID="Equation.DSMT4" ShapeID="_x0000_i1187" DrawAspect="Content" ObjectID="_1851521572" r:id="rId110"/>
        </w:object>
      </w:r>
      <w:r>
        <w:rPr>
          <w:bCs/>
          <w:color w:val="0000FF"/>
        </w:rPr>
        <w:t xml:space="preserve"> of the two dots, we define the effective Zeeman charges through</w:t>
      </w:r>
      <w:r w:rsidR="007D284F">
        <w:rPr>
          <w:bCs/>
          <w:color w:val="0000FF"/>
        </w:rPr>
        <w:t xml:space="preserve"> </w:t>
      </w:r>
      <w:r w:rsidR="00794205" w:rsidRPr="007D284F">
        <w:rPr>
          <w:bCs/>
          <w:color w:val="0000FF"/>
          <w:position w:val="-10"/>
        </w:rPr>
        <w:object w:dxaOrig="1600" w:dyaOrig="300" w14:anchorId="21B3ADC2">
          <v:shape id="_x0000_i1173" type="#_x0000_t75" style="width:80pt;height:15pt" o:ole="">
            <v:imagedata r:id="rId111" o:title=""/>
          </v:shape>
          <o:OLEObject Type="Embed" ProgID="Equation.DSMT4" ShapeID="_x0000_i1173" DrawAspect="Content" ObjectID="_1851521573" r:id="rId112"/>
        </w:object>
      </w:r>
      <w:r>
        <w:rPr>
          <w:bCs/>
          <w:color w:val="0000FF"/>
        </w:rPr>
        <w:t xml:space="preserve"> with</w:t>
      </w:r>
      <w:r w:rsidR="007D284F">
        <w:rPr>
          <w:bCs/>
          <w:color w:val="0000FF"/>
        </w:rPr>
        <w:t xml:space="preserve"> </w:t>
      </w:r>
      <w:r w:rsidR="007D284F" w:rsidRPr="007D284F">
        <w:rPr>
          <w:bCs/>
          <w:color w:val="0000FF"/>
          <w:position w:val="-10"/>
        </w:rPr>
        <w:object w:dxaOrig="639" w:dyaOrig="279" w14:anchorId="629FFF9A">
          <v:shape id="_x0000_i1147" type="#_x0000_t75" style="width:31.95pt;height:13.95pt" o:ole="">
            <v:imagedata r:id="rId113" o:title=""/>
          </v:shape>
          <o:OLEObject Type="Embed" ProgID="Equation.DSMT4" ShapeID="_x0000_i1147" DrawAspect="Content" ObjectID="_1851521574" r:id="rId114"/>
        </w:object>
      </w:r>
      <w:r>
        <w:rPr>
          <w:bCs/>
          <w:color w:val="0000FF"/>
        </w:rPr>
        <w:t xml:space="preserve"> where </w:t>
      </w:r>
      <w:r w:rsidR="007D284F" w:rsidRPr="007D284F">
        <w:rPr>
          <w:bCs/>
          <w:color w:val="0000FF"/>
          <w:position w:val="-10"/>
        </w:rPr>
        <w:object w:dxaOrig="279" w:dyaOrig="300" w14:anchorId="00AF97D3">
          <v:shape id="_x0000_i1150" type="#_x0000_t75" style="width:13.95pt;height:15pt" o:ole="">
            <v:imagedata r:id="rId115" o:title=""/>
          </v:shape>
          <o:OLEObject Type="Embed" ProgID="Equation.DSMT4" ShapeID="_x0000_i1150" DrawAspect="Content" ObjectID="_1851521575" r:id="rId116"/>
        </w:object>
      </w:r>
      <w:r>
        <w:rPr>
          <w:bCs/>
          <w:color w:val="0000FF"/>
        </w:rPr>
        <w:t xml:space="preserve">denotes the Bohr magneton. </w:t>
      </w:r>
      <w:r>
        <w:rPr>
          <w:bCs/>
        </w:rPr>
        <w:t xml:space="preserve">The two spins are in turn coupled to each other by the spin-spin term, whose strength </w:t>
      </w:r>
      <w:r w:rsidR="00B27F21" w:rsidRPr="00661AC2">
        <w:rPr>
          <w:bCs/>
          <w:noProof/>
          <w:position w:val="-6"/>
        </w:rPr>
        <w:object w:dxaOrig="200" w:dyaOrig="240" w14:anchorId="36EB04BD">
          <v:shape id="_x0000_i1074" type="#_x0000_t75" alt="" style="width:9.8pt;height:12pt;mso-width-percent:0;mso-height-percent:0;mso-width-percent:0;mso-height-percent:0" o:ole="">
            <v:imagedata r:id="rId117" o:title=""/>
          </v:shape>
          <o:OLEObject Type="Embed" ProgID="Equation.DSMT4" ShapeID="_x0000_i1074" DrawAspect="Content" ObjectID="_1851521576" r:id="rId118"/>
        </w:object>
      </w:r>
      <w:r>
        <w:rPr>
          <w:bCs/>
        </w:rPr>
        <w:t xml:space="preserve"> is the exchange interaction between them. </w:t>
      </w:r>
      <w:r>
        <w:rPr>
          <w:bCs/>
          <w:color w:val="0000FF"/>
        </w:rPr>
        <w:t>Physically, this coupling originates from the virtual interdot tunneling, which is allowed for the singlet but blocked by the Pauli exclusion principle for the triplet. Its strength is therefore set by the interdot tunnel coupling and the detuning between the dots, and it can be tuned by the gate voltages over many orders of magnitude [15].</w:t>
      </w:r>
    </w:p>
    <w:p w14:paraId="06A0DD2D" w14:textId="77777777" w:rsidR="00C8799A" w:rsidRPr="00B35CE0" w:rsidRDefault="00C8799A" w:rsidP="00C8799A">
      <w:pPr>
        <w:tabs>
          <w:tab w:val="left" w:pos="567"/>
          <w:tab w:val="left" w:pos="2250"/>
          <w:tab w:val="left" w:pos="8910"/>
        </w:tabs>
        <w:spacing w:line="240" w:lineRule="auto"/>
        <w:ind w:firstLine="360"/>
        <w:rPr>
          <w:bCs/>
          <w:color w:val="000000" w:themeColor="text1"/>
        </w:rPr>
      </w:pPr>
      <w:r w:rsidRPr="00B35CE0">
        <w:rPr>
          <w:color w:val="000000" w:themeColor="text1"/>
        </w:rPr>
        <w:t xml:space="preserve">Since both particles are charged, the Coulomb term has to appear in the model even though it does not act on the spin degrees of freedom. Written for the four-component </w:t>
      </w:r>
      <w:proofErr w:type="spellStart"/>
      <w:r w:rsidRPr="00B35CE0">
        <w:rPr>
          <w:color w:val="000000" w:themeColor="text1"/>
        </w:rPr>
        <w:t>bispinor</w:t>
      </w:r>
      <w:proofErr w:type="spellEnd"/>
      <w:r w:rsidRPr="00B35CE0">
        <w:rPr>
          <w:color w:val="000000" w:themeColor="text1"/>
        </w:rPr>
        <w:t>, the Pauli equation becomes</w:t>
      </w:r>
    </w:p>
    <w:p w14:paraId="6451C529" w14:textId="77777777" w:rsidR="00C8799A" w:rsidRPr="00B35CE0" w:rsidRDefault="00B27F21" w:rsidP="00C8799A">
      <w:pPr>
        <w:tabs>
          <w:tab w:val="left" w:pos="720"/>
          <w:tab w:val="left" w:pos="6480"/>
          <w:tab w:val="left" w:pos="8910"/>
        </w:tabs>
        <w:spacing w:before="240" w:line="240" w:lineRule="auto"/>
      </w:pPr>
      <w:r w:rsidRPr="00B35CE0">
        <w:rPr>
          <w:b/>
          <w:bCs/>
          <w:noProof/>
          <w:color w:val="000000" w:themeColor="text1"/>
          <w:position w:val="-20"/>
        </w:rPr>
        <w:object w:dxaOrig="2500" w:dyaOrig="560" w14:anchorId="52B332A6">
          <v:shape id="_x0000_i1075" type="#_x0000_t75" alt="" style="width:124.9pt;height:27.8pt;mso-width-percent:0;mso-height-percent:0;mso-width-percent:0;mso-height-percent:0" o:ole="">
            <v:imagedata r:id="rId119" o:title=""/>
          </v:shape>
          <o:OLEObject Type="Embed" ProgID="Equation.DSMT4" ShapeID="_x0000_i1075" DrawAspect="Content" ObjectID="_1851521577" r:id="rId120"/>
        </w:object>
      </w:r>
      <w:r w:rsidR="00C8799A" w:rsidRPr="00B35CE0">
        <w:rPr>
          <w:b/>
          <w:bCs/>
          <w:color w:val="000000" w:themeColor="text1"/>
        </w:rPr>
        <w:tab/>
      </w:r>
      <w:r w:rsidR="00C8799A" w:rsidRPr="00B35CE0">
        <w:t>(6)</w:t>
      </w:r>
    </w:p>
    <w:p w14:paraId="3005B07A" w14:textId="77777777" w:rsidR="00C8799A" w:rsidRPr="00B35CE0" w:rsidRDefault="00C8799A" w:rsidP="00C8799A">
      <w:pPr>
        <w:tabs>
          <w:tab w:val="left" w:pos="567"/>
          <w:tab w:val="left" w:pos="2250"/>
          <w:tab w:val="left" w:pos="8910"/>
        </w:tabs>
        <w:spacing w:before="240" w:line="240" w:lineRule="auto"/>
        <w:ind w:firstLine="360"/>
        <w:rPr>
          <w:color w:val="000000" w:themeColor="text1"/>
        </w:rPr>
      </w:pPr>
      <w:r w:rsidRPr="00B35CE0">
        <w:t xml:space="preserve">In this expression </w:t>
      </w:r>
      <w:r w:rsidR="00B27F21" w:rsidRPr="00B35CE0">
        <w:rPr>
          <w:noProof/>
          <w:position w:val="-16"/>
        </w:rPr>
        <w:object w:dxaOrig="3120" w:dyaOrig="460" w14:anchorId="7DA83B91">
          <v:shape id="_x0000_i1076" type="#_x0000_t75" alt="" style="width:156pt;height:22.9pt;mso-width-percent:0;mso-height-percent:0;mso-width-percent:0;mso-height-percent:0" o:ole="">
            <v:imagedata r:id="rId121" o:title=""/>
          </v:shape>
          <o:OLEObject Type="Embed" ProgID="Equation.DSMT4" ShapeID="_x0000_i1076" DrawAspect="Content" ObjectID="_1851521578" r:id="rId122"/>
        </w:object>
      </w:r>
      <w:r w:rsidRPr="00B35CE0">
        <w:t xml:space="preserve"> is the </w:t>
      </w:r>
      <w:proofErr w:type="spellStart"/>
      <w:r w:rsidRPr="00B35CE0">
        <w:t>bispinor</w:t>
      </w:r>
      <w:proofErr w:type="spellEnd"/>
      <w:r w:rsidRPr="00B35CE0">
        <w:t xml:space="preserve"> assembled from the spin-up and spin-down amplitudes of particles </w:t>
      </w:r>
      <w:r w:rsidR="00B27F21" w:rsidRPr="00B35CE0">
        <w:rPr>
          <w:noProof/>
          <w:position w:val="-4"/>
        </w:rPr>
        <w:object w:dxaOrig="279" w:dyaOrig="220" w14:anchorId="50DBF5A9">
          <v:shape id="_x0000_i1077" type="#_x0000_t75" alt="" style="width:13.65pt;height:10.9pt;mso-width-percent:0;mso-height-percent:0;mso-width-percent:0;mso-height-percent:0" o:ole="">
            <v:imagedata r:id="rId123" o:title=""/>
          </v:shape>
          <o:OLEObject Type="Embed" ProgID="Equation.DSMT4" ShapeID="_x0000_i1077" DrawAspect="Content" ObjectID="_1851521579" r:id="rId124"/>
        </w:object>
      </w:r>
      <w:r w:rsidRPr="00B35CE0">
        <w:t xml:space="preserve"> and </w:t>
      </w:r>
      <w:r w:rsidR="00B27F21" w:rsidRPr="00B35CE0">
        <w:rPr>
          <w:noProof/>
          <w:position w:val="-8"/>
        </w:rPr>
        <w:object w:dxaOrig="340" w:dyaOrig="260" w14:anchorId="485314B3">
          <v:shape id="_x0000_i1078" type="#_x0000_t75" alt="" style="width:16.9pt;height:12.55pt;mso-width-percent:0;mso-height-percent:0;mso-width-percent:0;mso-height-percent:0" o:ole="">
            <v:imagedata r:id="rId125" o:title=""/>
          </v:shape>
          <o:OLEObject Type="Embed" ProgID="Equation.DSMT4" ShapeID="_x0000_i1078" DrawAspect="Content" ObjectID="_1851521580" r:id="rId126"/>
        </w:object>
      </w:r>
      <w:r w:rsidRPr="00B35CE0">
        <w:t xml:space="preserve"> </w:t>
      </w:r>
      <w:proofErr w:type="spellStart"/>
      <w:r w:rsidRPr="00B35CE0">
        <w:t>and</w:t>
      </w:r>
      <w:proofErr w:type="spellEnd"/>
      <w:r w:rsidRPr="00B35CE0">
        <w:t xml:space="preserve"> it factorizes as </w:t>
      </w:r>
      <w:r w:rsidR="00B27F21" w:rsidRPr="00B35CE0">
        <w:rPr>
          <w:bCs/>
          <w:noProof/>
          <w:position w:val="-14"/>
        </w:rPr>
        <w:object w:dxaOrig="2000" w:dyaOrig="380" w14:anchorId="204B3CE2">
          <v:shape id="_x0000_i1079" type="#_x0000_t75" alt="" style="width:100.4pt;height:19.1pt;mso-width-percent:0;mso-height-percent:0;mso-width-percent:0;mso-height-percent:0" o:ole="">
            <v:imagedata r:id="rId127" o:title=""/>
          </v:shape>
          <o:OLEObject Type="Embed" ProgID="Equation.DSMT4" ShapeID="_x0000_i1079" DrawAspect="Content" ObjectID="_1851521581" r:id="rId128"/>
        </w:object>
      </w:r>
      <w:r w:rsidRPr="00B35CE0">
        <w:t xml:space="preserve"> while </w:t>
      </w:r>
      <w:r w:rsidR="00B27F21" w:rsidRPr="00B35CE0">
        <w:rPr>
          <w:noProof/>
          <w:position w:val="-14"/>
        </w:rPr>
        <w:object w:dxaOrig="380" w:dyaOrig="340" w14:anchorId="4DECB4AC">
          <v:shape id="_x0000_i1080" type="#_x0000_t75" alt="" style="width:18.55pt;height:16.9pt;mso-width-percent:0;mso-height-percent:0;mso-width-percent:0;mso-height-percent:0" o:ole="">
            <v:imagedata r:id="rId129" o:title=""/>
          </v:shape>
          <o:OLEObject Type="Embed" ProgID="Equation.DSMT4" ShapeID="_x0000_i1080" DrawAspect="Content" ObjectID="_1851521582" r:id="rId130"/>
        </w:object>
      </w:r>
      <w:r w:rsidRPr="00B35CE0">
        <w:t xml:space="preserve"> denotes the </w:t>
      </w:r>
      <w:r w:rsidR="00B27F21" w:rsidRPr="00B35CE0">
        <w:rPr>
          <w:noProof/>
          <w:position w:val="-12"/>
        </w:rPr>
        <w:object w:dxaOrig="1020" w:dyaOrig="340" w14:anchorId="7480947A">
          <v:shape id="_x0000_i1081" type="#_x0000_t75" alt="" style="width:51.8pt;height:17.45pt;mso-width-percent:0;mso-height-percent:0;mso-width-percent:0;mso-height-percent:0" o:ole="">
            <v:imagedata r:id="rId131" o:title=""/>
          </v:shape>
          <o:OLEObject Type="Embed" ProgID="Equation.DSMT4" ShapeID="_x0000_i1081" DrawAspect="Content" ObjectID="_1851521583" r:id="rId132"/>
        </w:object>
      </w:r>
      <w:r w:rsidRPr="00B35CE0">
        <w:t xml:space="preserve"> identity matrix. For a bipartite system</w:t>
      </w:r>
      <w:r w:rsidR="003851C5">
        <w:t>,</w:t>
      </w:r>
      <w:r w:rsidRPr="00B35CE0">
        <w:t xml:space="preserve"> the variable </w:t>
      </w:r>
      <w:r w:rsidR="00B27F21" w:rsidRPr="00B35CE0">
        <w:rPr>
          <w:noProof/>
          <w:color w:val="000000" w:themeColor="text1"/>
          <w:position w:val="-6"/>
        </w:rPr>
        <w:object w:dxaOrig="180" w:dyaOrig="200" w14:anchorId="5F7260AB">
          <v:shape id="_x0000_i1082" type="#_x0000_t75" alt="" style="width:8.75pt;height:9.8pt;mso-width-percent:0;mso-height-percent:0;mso-width-percent:0;mso-height-percent:0" o:ole="">
            <v:imagedata r:id="rId133" o:title=""/>
          </v:shape>
          <o:OLEObject Type="Embed" ProgID="Equation.DSMT4" ShapeID="_x0000_i1082" DrawAspect="Content" ObjectID="_1851521584" r:id="rId134"/>
        </w:object>
      </w:r>
      <w:r w:rsidRPr="00B35CE0">
        <w:t xml:space="preserve"> is understood as the relative coordinate </w:t>
      </w:r>
      <w:r w:rsidR="003851C5">
        <w:t xml:space="preserve">between the two particles, with the center-of-mass motion </w:t>
      </w:r>
      <w:r w:rsidRPr="00B35CE0">
        <w:t xml:space="preserve">neglected. Inserting the field orientation fixed in Section 3, the spin operator </w:t>
      </w:r>
      <w:r w:rsidR="00B27F21" w:rsidRPr="009F36CD">
        <w:rPr>
          <w:noProof/>
          <w:color w:val="000000" w:themeColor="text1"/>
          <w:position w:val="-12"/>
        </w:rPr>
        <w:object w:dxaOrig="440" w:dyaOrig="320" w14:anchorId="1B074DA9">
          <v:shape id="_x0000_i1083" type="#_x0000_t75" alt="" style="width:21.8pt;height:15.8pt;mso-width-percent:0;mso-height-percent:0;mso-width-percent:0;mso-height-percent:0" o:ole="">
            <v:imagedata r:id="rId135" o:title=""/>
          </v:shape>
          <o:OLEObject Type="Embed" ProgID="Equation.DSMT4" ShapeID="_x0000_i1083" DrawAspect="Content" ObjectID="_1851521585" r:id="rId136"/>
        </w:object>
      </w:r>
      <w:r w:rsidRPr="00B35CE0">
        <w:t xml:space="preserve"> acquires the explicit matrix form</w:t>
      </w:r>
    </w:p>
    <w:p w14:paraId="65501874" w14:textId="038FE006" w:rsidR="00AF7CBF" w:rsidRDefault="00621412" w:rsidP="00AF7CBF">
      <w:pPr>
        <w:tabs>
          <w:tab w:val="left" w:pos="180"/>
          <w:tab w:val="left" w:pos="1980"/>
          <w:tab w:val="left" w:pos="6480"/>
          <w:tab w:val="left" w:pos="8910"/>
        </w:tabs>
        <w:spacing w:before="240" w:line="240" w:lineRule="auto"/>
        <w:ind w:firstLine="90"/>
        <w:rPr>
          <w:b/>
        </w:rPr>
      </w:pPr>
      <w:r w:rsidRPr="00AF7CBF">
        <w:rPr>
          <w:b/>
          <w:noProof/>
          <w:position w:val="-48"/>
        </w:rPr>
        <w:object w:dxaOrig="6700" w:dyaOrig="1040" w14:anchorId="0E6F887E">
          <v:shape id="_x0000_i1163" type="#_x0000_t75" alt="" style="width:335pt;height:51.8pt" o:ole="">
            <v:imagedata r:id="rId137" o:title=""/>
          </v:shape>
          <o:OLEObject Type="Embed" ProgID="Equation.DSMT4" ShapeID="_x0000_i1163" DrawAspect="Content" ObjectID="_1851521586" r:id="rId138"/>
        </w:object>
      </w:r>
    </w:p>
    <w:p w14:paraId="4CC6F5B4" w14:textId="77777777" w:rsidR="00C8799A" w:rsidRPr="00B35CE0" w:rsidRDefault="00C8799A" w:rsidP="00F404D3">
      <w:pPr>
        <w:tabs>
          <w:tab w:val="left" w:pos="180"/>
          <w:tab w:val="left" w:pos="1980"/>
          <w:tab w:val="left" w:pos="6480"/>
          <w:tab w:val="left" w:pos="8910"/>
        </w:tabs>
        <w:spacing w:before="120" w:line="240" w:lineRule="auto"/>
        <w:ind w:firstLine="230"/>
        <w:rPr>
          <w:b/>
        </w:rPr>
      </w:pPr>
      <w:r>
        <w:rPr>
          <w:b/>
        </w:rPr>
        <w:tab/>
      </w:r>
      <w:r>
        <w:rPr>
          <w:b/>
        </w:rPr>
        <w:tab/>
      </w:r>
      <w:r w:rsidRPr="00B35CE0">
        <w:rPr>
          <w:bCs/>
        </w:rPr>
        <w:t>(7)</w:t>
      </w:r>
    </w:p>
    <w:p w14:paraId="07CCD2E2" w14:textId="77777777" w:rsidR="00C8799A" w:rsidRPr="00B35CE0" w:rsidRDefault="00C8799A" w:rsidP="00AB1453">
      <w:pPr>
        <w:tabs>
          <w:tab w:val="left" w:pos="567"/>
          <w:tab w:val="left" w:pos="1980"/>
          <w:tab w:val="left" w:pos="8910"/>
        </w:tabs>
        <w:spacing w:before="240" w:after="240" w:line="240" w:lineRule="auto"/>
        <w:ind w:firstLine="0"/>
        <w:rPr>
          <w:bCs/>
          <w:sz w:val="22"/>
          <w:szCs w:val="22"/>
        </w:rPr>
      </w:pPr>
      <w:r w:rsidRPr="00B35CE0">
        <w:rPr>
          <w:bCs/>
        </w:rPr>
        <w:t xml:space="preserve">with </w:t>
      </w:r>
      <w:r w:rsidR="00B27F21" w:rsidRPr="00B35CE0">
        <w:rPr>
          <w:bCs/>
          <w:noProof/>
          <w:position w:val="-10"/>
        </w:rPr>
        <w:object w:dxaOrig="1040" w:dyaOrig="300" w14:anchorId="09D4741D">
          <v:shape id="_x0000_i1085" type="#_x0000_t75" alt="" style="width:51.8pt;height:15.25pt;mso-width-percent:0;mso-height-percent:0;mso-width-percent:0;mso-height-percent:0" o:ole="">
            <v:imagedata r:id="rId139" o:title=""/>
          </v:shape>
          <o:OLEObject Type="Embed" ProgID="Equation.DSMT4" ShapeID="_x0000_i1085" DrawAspect="Content" ObjectID="_1851521587" r:id="rId140"/>
        </w:object>
      </w:r>
      <w:r w:rsidRPr="00B35CE0">
        <w:rPr>
          <w:bCs/>
        </w:rPr>
        <w:t xml:space="preserve"> The diagonalization is most transparent in the product basis built from the single-particle </w:t>
      </w:r>
      <w:proofErr w:type="spellStart"/>
      <w:r w:rsidRPr="00B35CE0">
        <w:rPr>
          <w:bCs/>
        </w:rPr>
        <w:t>eigenspinors</w:t>
      </w:r>
      <w:proofErr w:type="spellEnd"/>
      <w:r w:rsidRPr="00B35CE0">
        <w:rPr>
          <w:bCs/>
        </w:rPr>
        <w:t xml:space="preserve"> of Eq. (4). Because the spin-spin operator is invariant under a simultaneous rotation of both spins, it retains the same form in that basis, while the Zeeman part becomes diagonal in each factor. Equation (7) then decomposes into two one-dimensional blocks, spanned by the two aligned configurations</w:t>
      </w:r>
      <w:r w:rsidR="00BD402C">
        <w:rPr>
          <w:bCs/>
        </w:rPr>
        <w:t xml:space="preserve"> that </w:t>
      </w:r>
      <w:r>
        <w:rPr>
          <w:bCs/>
          <w:color w:val="0000FF"/>
        </w:rPr>
        <w:t>belong to the triplet manifold</w:t>
      </w:r>
      <w:r w:rsidR="00BD402C">
        <w:rPr>
          <w:bCs/>
        </w:rPr>
        <w:t xml:space="preserve">, and one two-dimensional block that couples the two anti-aligned configurations, </w:t>
      </w:r>
      <w:r>
        <w:rPr>
          <w:bCs/>
          <w:color w:val="0000FF"/>
        </w:rPr>
        <w:t>from which the singlet and the unpolarized triplet state are formed</w:t>
      </w:r>
      <w:r w:rsidRPr="00B35CE0">
        <w:rPr>
          <w:bCs/>
        </w:rPr>
        <w:t>. The aligned blocks give the eigenvalues</w:t>
      </w:r>
    </w:p>
    <w:p w14:paraId="57C2EF6F" w14:textId="6216BE6E" w:rsidR="00C8799A" w:rsidRDefault="007D284F" w:rsidP="00AB1453">
      <w:pPr>
        <w:tabs>
          <w:tab w:val="left" w:pos="3510"/>
          <w:tab w:val="left" w:pos="6480"/>
          <w:tab w:val="left" w:pos="8910"/>
        </w:tabs>
        <w:spacing w:after="240" w:line="240" w:lineRule="auto"/>
      </w:pPr>
      <w:r w:rsidRPr="00B35CE0">
        <w:rPr>
          <w:position w:val="-20"/>
        </w:rPr>
        <w:object w:dxaOrig="1400" w:dyaOrig="540" w14:anchorId="676EC145">
          <v:shape id="_x0000_i1105" type="#_x0000_t75" style="width:70.05pt;height:26.9pt" o:ole="">
            <v:imagedata r:id="rId141" o:title=""/>
          </v:shape>
          <o:OLEObject Type="Embed" ProgID="Equation.DSMT4" ShapeID="_x0000_i1105" DrawAspect="Content" ObjectID="_1851521588" r:id="rId142"/>
        </w:object>
      </w:r>
      <w:r w:rsidR="00C8799A" w:rsidRPr="00B35CE0">
        <w:tab/>
      </w:r>
      <w:r w:rsidR="00C8799A">
        <w:tab/>
      </w:r>
      <w:r w:rsidR="00C8799A" w:rsidRPr="00B35CE0">
        <w:t>(8)</w:t>
      </w:r>
    </w:p>
    <w:p w14:paraId="6C684C2A" w14:textId="77777777" w:rsidR="00C8799A" w:rsidRPr="00B35CE0" w:rsidRDefault="00C8799A" w:rsidP="00BE618C">
      <w:pPr>
        <w:spacing w:after="240" w:line="240" w:lineRule="auto"/>
        <w:ind w:firstLine="0"/>
        <w:rPr>
          <w:bCs/>
        </w:rPr>
      </w:pPr>
      <w:r w:rsidRPr="00B35CE0">
        <w:rPr>
          <w:bCs/>
        </w:rPr>
        <w:t xml:space="preserve">together with the </w:t>
      </w:r>
      <w:proofErr w:type="spellStart"/>
      <w:r w:rsidRPr="00B35CE0">
        <w:rPr>
          <w:bCs/>
        </w:rPr>
        <w:t>eigenbispinors</w:t>
      </w:r>
      <w:proofErr w:type="spellEnd"/>
    </w:p>
    <w:p w14:paraId="783ED519" w14:textId="77777777" w:rsidR="00C8799A" w:rsidRPr="00B35CE0" w:rsidRDefault="00B27F21" w:rsidP="00AB1453">
      <w:pPr>
        <w:tabs>
          <w:tab w:val="left" w:pos="2790"/>
          <w:tab w:val="left" w:pos="6480"/>
          <w:tab w:val="left" w:pos="8910"/>
        </w:tabs>
        <w:spacing w:after="240" w:line="240" w:lineRule="auto"/>
        <w:rPr>
          <w:bCs/>
        </w:rPr>
      </w:pPr>
      <w:r w:rsidRPr="00B35CE0">
        <w:rPr>
          <w:bCs/>
          <w:noProof/>
          <w:position w:val="-58"/>
        </w:rPr>
        <w:object w:dxaOrig="3200" w:dyaOrig="1260" w14:anchorId="364CF356">
          <v:shape id="_x0000_i1086" type="#_x0000_t75" alt="" style="width:159.85pt;height:63.25pt;mso-width-percent:0;mso-height-percent:0;mso-width-percent:0;mso-height-percent:0" o:ole="">
            <v:imagedata r:id="rId143" o:title=""/>
          </v:shape>
          <o:OLEObject Type="Embed" ProgID="Equation.DSMT4" ShapeID="_x0000_i1086" DrawAspect="Content" ObjectID="_1851521589" r:id="rId144"/>
        </w:object>
      </w:r>
      <w:r w:rsidR="00C8799A" w:rsidRPr="00B35CE0">
        <w:rPr>
          <w:bCs/>
        </w:rPr>
        <w:tab/>
        <w:t>(9)</w:t>
      </w:r>
    </w:p>
    <w:p w14:paraId="1D822B3A" w14:textId="77777777" w:rsidR="00C8799A" w:rsidRPr="00B35CE0" w:rsidRDefault="00B27F21" w:rsidP="00AB1453">
      <w:pPr>
        <w:tabs>
          <w:tab w:val="left" w:pos="2700"/>
          <w:tab w:val="left" w:pos="6480"/>
          <w:tab w:val="left" w:pos="8910"/>
        </w:tabs>
        <w:spacing w:after="240" w:line="240" w:lineRule="auto"/>
      </w:pPr>
      <w:r w:rsidRPr="00B35CE0">
        <w:rPr>
          <w:bCs/>
          <w:noProof/>
          <w:position w:val="-58"/>
        </w:rPr>
        <w:object w:dxaOrig="3320" w:dyaOrig="1260" w14:anchorId="1D0E297F">
          <v:shape id="_x0000_i1087" type="#_x0000_t75" alt="" style="width:165.85pt;height:63.25pt;mso-width-percent:0;mso-height-percent:0;mso-width-percent:0;mso-height-percent:0" o:ole="">
            <v:imagedata r:id="rId145" o:title=""/>
          </v:shape>
          <o:OLEObject Type="Embed" ProgID="Equation.DSMT4" ShapeID="_x0000_i1087" DrawAspect="Content" ObjectID="_1851521590" r:id="rId146"/>
        </w:object>
      </w:r>
      <w:r w:rsidR="00C8799A" w:rsidRPr="00B35CE0">
        <w:rPr>
          <w:bCs/>
        </w:rPr>
        <w:tab/>
        <w:t>(10)</w:t>
      </w:r>
    </w:p>
    <w:p w14:paraId="25C10F63" w14:textId="77777777" w:rsidR="00C8799A" w:rsidRDefault="00C8799A" w:rsidP="00C8799A">
      <w:pPr>
        <w:spacing w:after="240" w:line="240" w:lineRule="auto"/>
        <w:ind w:firstLine="360"/>
      </w:pPr>
      <w:r w:rsidRPr="00B35CE0">
        <w:t>Diagonalizing the remaining two-dimensional block yields the second pair of eigenvalues,</w:t>
      </w:r>
    </w:p>
    <w:p w14:paraId="7A780F18" w14:textId="74A85C40" w:rsidR="000871FC" w:rsidRDefault="008A269B" w:rsidP="000871FC">
      <w:pPr>
        <w:tabs>
          <w:tab w:val="left" w:pos="2790"/>
          <w:tab w:val="left" w:pos="6480"/>
          <w:tab w:val="left" w:pos="8910"/>
        </w:tabs>
        <w:spacing w:after="240" w:line="240" w:lineRule="auto"/>
      </w:pPr>
      <w:r w:rsidRPr="000871FC">
        <w:rPr>
          <w:position w:val="-14"/>
        </w:rPr>
        <w:object w:dxaOrig="2720" w:dyaOrig="440" w14:anchorId="55A72BA6">
          <v:shape id="_x0000_i1167" type="#_x0000_t75" style="width:135.85pt;height:22.05pt" o:ole="">
            <v:imagedata r:id="rId147" o:title=""/>
          </v:shape>
          <o:OLEObject Type="Embed" ProgID="Equation.DSMT4" ShapeID="_x0000_i1167" DrawAspect="Content" ObjectID="_1851521591" r:id="rId148"/>
        </w:object>
      </w:r>
      <w:r w:rsidR="00C8799A" w:rsidRPr="00B35CE0">
        <w:tab/>
        <w:t>(11)</w:t>
      </w:r>
    </w:p>
    <w:p w14:paraId="6AE80C85" w14:textId="77777777" w:rsidR="00F528A7" w:rsidRPr="00B35CE0" w:rsidRDefault="00F528A7" w:rsidP="000871FC">
      <w:pPr>
        <w:tabs>
          <w:tab w:val="left" w:pos="2790"/>
          <w:tab w:val="left" w:pos="6480"/>
          <w:tab w:val="left" w:pos="8910"/>
        </w:tabs>
        <w:spacing w:after="240" w:line="240" w:lineRule="auto"/>
        <w:ind w:firstLine="0"/>
      </w:pPr>
      <w:r>
        <w:t>with</w:t>
      </w:r>
      <w:r w:rsidRPr="00B35CE0">
        <w:t xml:space="preserve"> the associated </w:t>
      </w:r>
      <w:proofErr w:type="spellStart"/>
      <w:r w:rsidRPr="00B35CE0">
        <w:t>eigenbispinors</w:t>
      </w:r>
      <w:proofErr w:type="spellEnd"/>
    </w:p>
    <w:p w14:paraId="63352D72" w14:textId="77777777" w:rsidR="00C8799A" w:rsidRPr="00B35CE0" w:rsidRDefault="00B27F21" w:rsidP="00AB1453">
      <w:pPr>
        <w:tabs>
          <w:tab w:val="left" w:pos="2610"/>
          <w:tab w:val="left" w:pos="6480"/>
          <w:tab w:val="left" w:pos="8910"/>
        </w:tabs>
        <w:spacing w:before="240" w:after="240" w:line="240" w:lineRule="auto"/>
        <w:rPr>
          <w:bCs/>
        </w:rPr>
      </w:pPr>
      <w:r w:rsidRPr="00B35CE0">
        <w:rPr>
          <w:bCs/>
          <w:noProof/>
          <w:position w:val="-12"/>
        </w:rPr>
        <w:object w:dxaOrig="3580" w:dyaOrig="340" w14:anchorId="6D4B0DCE">
          <v:shape id="_x0000_i1088" type="#_x0000_t75" alt="" style="width:178.8pt;height:16.9pt;mso-width-percent:0;mso-height-percent:0;mso-width-percent:0;mso-height-percent:0" o:ole="">
            <v:imagedata r:id="rId149" o:title=""/>
          </v:shape>
          <o:OLEObject Type="Embed" ProgID="Equation.DSMT4" ShapeID="_x0000_i1088" DrawAspect="Content" ObjectID="_1851521592" r:id="rId150"/>
        </w:object>
      </w:r>
      <w:r w:rsidR="00C8799A" w:rsidRPr="00B35CE0">
        <w:rPr>
          <w:bCs/>
        </w:rPr>
        <w:tab/>
        <w:t>(12)</w:t>
      </w:r>
    </w:p>
    <w:p w14:paraId="0A1D543F" w14:textId="77777777" w:rsidR="00C8799A" w:rsidRPr="00B35CE0" w:rsidRDefault="00B27F21" w:rsidP="00C8799A">
      <w:pPr>
        <w:tabs>
          <w:tab w:val="left" w:pos="2430"/>
          <w:tab w:val="left" w:pos="6480"/>
          <w:tab w:val="left" w:pos="8910"/>
        </w:tabs>
        <w:spacing w:line="240" w:lineRule="auto"/>
        <w:rPr>
          <w:bCs/>
        </w:rPr>
      </w:pPr>
      <w:r w:rsidRPr="00B35CE0">
        <w:rPr>
          <w:bCs/>
          <w:noProof/>
          <w:position w:val="-12"/>
        </w:rPr>
        <w:object w:dxaOrig="3720" w:dyaOrig="340" w14:anchorId="7C6F51FE">
          <v:shape id="_x0000_i1089" type="#_x0000_t75" alt="" style="width:186pt;height:16.9pt;mso-width-percent:0;mso-height-percent:0;mso-width-percent:0;mso-height-percent:0" o:ole="">
            <v:imagedata r:id="rId151" o:title=""/>
          </v:shape>
          <o:OLEObject Type="Embed" ProgID="Equation.DSMT4" ShapeID="_x0000_i1089" DrawAspect="Content" ObjectID="_1851521593" r:id="rId152"/>
        </w:object>
      </w:r>
      <w:r w:rsidR="00C8799A" w:rsidRPr="00B35CE0">
        <w:rPr>
          <w:bCs/>
        </w:rPr>
        <w:tab/>
        <w:t>(13)</w:t>
      </w:r>
    </w:p>
    <w:p w14:paraId="2235A298" w14:textId="77777777" w:rsidR="00C8799A" w:rsidRPr="00B35CE0" w:rsidRDefault="00C8799A" w:rsidP="00AB1453">
      <w:pPr>
        <w:tabs>
          <w:tab w:val="left" w:pos="2430"/>
          <w:tab w:val="left" w:pos="8910"/>
        </w:tabs>
        <w:spacing w:before="240" w:line="240" w:lineRule="auto"/>
        <w:ind w:firstLine="0"/>
        <w:rPr>
          <w:bCs/>
        </w:rPr>
      </w:pPr>
      <w:r w:rsidRPr="00B35CE0">
        <w:rPr>
          <w:bCs/>
        </w:rPr>
        <w:t xml:space="preserve">where </w:t>
      </w:r>
      <w:r w:rsidR="00B27F21" w:rsidRPr="00B35CE0">
        <w:rPr>
          <w:bCs/>
          <w:noProof/>
          <w:position w:val="-6"/>
        </w:rPr>
        <w:object w:dxaOrig="220" w:dyaOrig="200" w14:anchorId="3128A552">
          <v:shape id="_x0000_i1090" type="#_x0000_t75" alt="" style="width:10.9pt;height:9.8pt;mso-width-percent:0;mso-height-percent:0;mso-width-percent:0;mso-height-percent:0" o:ole="">
            <v:imagedata r:id="rId153" o:title=""/>
          </v:shape>
          <o:OLEObject Type="Embed" ProgID="Equation.DSMT4" ShapeID="_x0000_i1090" DrawAspect="Content" ObjectID="_1851521594" r:id="rId154"/>
        </w:object>
      </w:r>
      <w:r w:rsidRPr="00B35CE0">
        <w:rPr>
          <w:bCs/>
        </w:rPr>
        <w:t xml:space="preserve"> is the mixing angle fixed by</w:t>
      </w:r>
    </w:p>
    <w:p w14:paraId="7EAB7369" w14:textId="22C3CDF3" w:rsidR="00C8799A" w:rsidRPr="00B35CE0" w:rsidRDefault="008A269B" w:rsidP="00C8799A">
      <w:pPr>
        <w:tabs>
          <w:tab w:val="left" w:pos="567"/>
          <w:tab w:val="left" w:pos="4050"/>
          <w:tab w:val="left" w:pos="6480"/>
          <w:tab w:val="left" w:pos="8910"/>
        </w:tabs>
        <w:spacing w:before="240" w:line="240" w:lineRule="auto"/>
        <w:rPr>
          <w:bCs/>
        </w:rPr>
      </w:pPr>
      <w:r w:rsidRPr="00B35CE0">
        <w:rPr>
          <w:noProof/>
          <w:position w:val="-26"/>
        </w:rPr>
        <w:object w:dxaOrig="1440" w:dyaOrig="580" w14:anchorId="7985A66E">
          <v:shape id="_x0000_i1165" type="#_x0000_t75" alt="" style="width:71.85pt;height:28.9pt" o:ole="">
            <v:imagedata r:id="rId155" o:title=""/>
          </v:shape>
          <o:OLEObject Type="Embed" ProgID="Equation.DSMT4" ShapeID="_x0000_i1165" DrawAspect="Content" ObjectID="_1851521595" r:id="rId156"/>
        </w:object>
      </w:r>
      <w:r w:rsidR="00C8799A" w:rsidRPr="00B35CE0">
        <w:tab/>
      </w:r>
      <w:r w:rsidR="00C8799A">
        <w:tab/>
      </w:r>
      <w:r w:rsidR="00C8799A" w:rsidRPr="00B35CE0">
        <w:t>(14)</w:t>
      </w:r>
    </w:p>
    <w:p w14:paraId="12778D51" w14:textId="77777777" w:rsidR="00C8799A" w:rsidRPr="00B35CE0" w:rsidRDefault="00BD402C" w:rsidP="00BD402C">
      <w:pPr>
        <w:tabs>
          <w:tab w:val="left" w:pos="567"/>
          <w:tab w:val="left" w:pos="1800"/>
          <w:tab w:val="left" w:pos="8910"/>
        </w:tabs>
        <w:spacing w:line="240" w:lineRule="auto"/>
        <w:ind w:firstLine="360"/>
      </w:pPr>
      <w:r>
        <w:t>As mention</w:t>
      </w:r>
      <w:r w:rsidR="002923DD">
        <w:t>e</w:t>
      </w:r>
      <w:r>
        <w:t>d previously, t</w:t>
      </w:r>
      <w:r w:rsidR="00C8799A" w:rsidRPr="00B35CE0">
        <w:t xml:space="preserve">he content of </w:t>
      </w:r>
      <w:proofErr w:type="spellStart"/>
      <w:r w:rsidR="00C8799A" w:rsidRPr="00B35CE0">
        <w:t>Eqs</w:t>
      </w:r>
      <w:proofErr w:type="spellEnd"/>
      <w:r w:rsidR="00C8799A" w:rsidRPr="00B35CE0">
        <w:t xml:space="preserve">. (8)-(14) becomes transparent once the four states are classified by their total spin. The aligned </w:t>
      </w:r>
      <w:proofErr w:type="spellStart"/>
      <w:r w:rsidR="00C8799A" w:rsidRPr="00B35CE0">
        <w:t>bispinors</w:t>
      </w:r>
      <w:proofErr w:type="spellEnd"/>
      <w:r w:rsidR="00C8799A" w:rsidRPr="00B35CE0">
        <w:t xml:space="preserve"> of </w:t>
      </w:r>
      <w:proofErr w:type="spellStart"/>
      <w:r w:rsidR="00C8799A" w:rsidRPr="00B35CE0">
        <w:t>Eqs</w:t>
      </w:r>
      <w:proofErr w:type="spellEnd"/>
      <w:r w:rsidR="00C8799A" w:rsidRPr="00B35CE0">
        <w:t xml:space="preserve">. (9) and (10) are symmetric under exchange of the two particles and therefore belong to the triplet manifold. The two-dimensional block, by contrast, is spanned by one symmetric and one antisymmetric combination, namely the remaining triplet member and the singlet, </w:t>
      </w:r>
      <w:r>
        <w:t xml:space="preserve">respectively, </w:t>
      </w:r>
      <w:r w:rsidR="00C8799A" w:rsidRPr="00B35CE0">
        <w:t>which the mixing angle of Eq. (14) blends whenever the two charges differ. It is thus the triplet levels that carry the Zeeman splitting, while the singlet is displaced from them by the spin-spin coupling alone. This level structure is consistent with the experimental observation reported in ref. [14].</w:t>
      </w:r>
    </w:p>
    <w:p w14:paraId="0F750DCF" w14:textId="6F8AD287" w:rsidR="00C8799A" w:rsidRPr="00B35CE0" w:rsidRDefault="00ED1BF8" w:rsidP="00C8799A">
      <w:pPr>
        <w:tabs>
          <w:tab w:val="left" w:pos="567"/>
          <w:tab w:val="left" w:pos="2250"/>
          <w:tab w:val="left" w:pos="8910"/>
        </w:tabs>
        <w:spacing w:line="240" w:lineRule="auto"/>
        <w:ind w:firstLine="360"/>
        <w:rPr>
          <w:bCs/>
          <w:color w:val="000000" w:themeColor="text1"/>
        </w:rPr>
      </w:pPr>
      <w:r>
        <w:rPr>
          <w:color w:val="000000" w:themeColor="text1"/>
        </w:rPr>
        <w:t>T</w:t>
      </w:r>
      <w:r w:rsidR="00C8799A" w:rsidRPr="00B35CE0">
        <w:rPr>
          <w:color w:val="000000" w:themeColor="text1"/>
        </w:rPr>
        <w:t xml:space="preserve">he picture </w:t>
      </w:r>
      <w:r>
        <w:rPr>
          <w:color w:val="000000" w:themeColor="text1"/>
        </w:rPr>
        <w:t xml:space="preserve">can be </w:t>
      </w:r>
      <w:r w:rsidR="00C8799A" w:rsidRPr="00B35CE0">
        <w:rPr>
          <w:color w:val="000000" w:themeColor="text1"/>
        </w:rPr>
        <w:t>simplifie</w:t>
      </w:r>
      <w:r>
        <w:rPr>
          <w:color w:val="000000" w:themeColor="text1"/>
        </w:rPr>
        <w:t>d</w:t>
      </w:r>
      <w:r w:rsidR="00C8799A" w:rsidRPr="00B35CE0">
        <w:rPr>
          <w:color w:val="000000" w:themeColor="text1"/>
        </w:rPr>
        <w:t xml:space="preserve"> further</w:t>
      </w:r>
      <w:r>
        <w:rPr>
          <w:color w:val="000000" w:themeColor="text1"/>
        </w:rPr>
        <w:t xml:space="preserve"> when</w:t>
      </w:r>
      <w:r w:rsidR="00C8799A" w:rsidRPr="00B35CE0">
        <w:rPr>
          <w:color w:val="000000" w:themeColor="text1"/>
        </w:rPr>
        <w:t xml:space="preserve"> </w:t>
      </w:r>
      <w:r>
        <w:rPr>
          <w:color w:val="000000" w:themeColor="text1"/>
        </w:rPr>
        <w:t>t</w:t>
      </w:r>
      <w:r w:rsidR="00C8799A" w:rsidRPr="00B35CE0">
        <w:rPr>
          <w:color w:val="000000" w:themeColor="text1"/>
        </w:rPr>
        <w:t xml:space="preserve">he two confined particles </w:t>
      </w:r>
      <w:r w:rsidR="00D46148">
        <w:rPr>
          <w:color w:val="000000" w:themeColor="text1"/>
        </w:rPr>
        <w:t xml:space="preserve">possess </w:t>
      </w:r>
      <w:r w:rsidR="00C8799A" w:rsidRPr="00B35CE0">
        <w:rPr>
          <w:color w:val="000000" w:themeColor="text1"/>
        </w:rPr>
        <w:t xml:space="preserve">equal </w:t>
      </w:r>
      <w:r>
        <w:rPr>
          <w:color w:val="000000" w:themeColor="text1"/>
        </w:rPr>
        <w:t xml:space="preserve">effective Zeeman charges </w:t>
      </w:r>
      <w:r w:rsidR="00B27F21" w:rsidRPr="00F87F58">
        <w:rPr>
          <w:noProof/>
          <w:color w:val="000000" w:themeColor="text1"/>
          <w:position w:val="-12"/>
        </w:rPr>
        <w:object w:dxaOrig="1160" w:dyaOrig="340" w14:anchorId="78618F20">
          <v:shape id="_x0000_i1092" type="#_x0000_t75" alt="" style="width:57.85pt;height:16.9pt;mso-width-percent:0;mso-height-percent:0;mso-width-percent:0;mso-height-percent:0" o:ole="">
            <v:imagedata r:id="rId157" o:title=""/>
          </v:shape>
          <o:OLEObject Type="Embed" ProgID="Equation.DSMT4" ShapeID="_x0000_i1092" DrawAspect="Content" ObjectID="_1851521596" r:id="rId158"/>
        </w:object>
      </w:r>
      <w:r>
        <w:rPr>
          <w:color w:val="000000" w:themeColor="text1"/>
        </w:rPr>
        <w:t xml:space="preserve"> such as </w:t>
      </w:r>
      <w:r w:rsidR="00D46148">
        <w:rPr>
          <w:color w:val="000000" w:themeColor="text1"/>
        </w:rPr>
        <w:t xml:space="preserve">a </w:t>
      </w:r>
      <w:r>
        <w:rPr>
          <w:color w:val="000000" w:themeColor="text1"/>
        </w:rPr>
        <w:t xml:space="preserve">two-electron system, </w:t>
      </w:r>
      <w:r w:rsidR="00C8799A" w:rsidRPr="00B35CE0">
        <w:rPr>
          <w:color w:val="000000" w:themeColor="text1"/>
        </w:rPr>
        <w:t>and the difference between them vanishes</w:t>
      </w:r>
      <w:r w:rsidR="00F87F58">
        <w:rPr>
          <w:color w:val="000000" w:themeColor="text1"/>
        </w:rPr>
        <w:t xml:space="preserve"> </w:t>
      </w:r>
      <w:r w:rsidR="00B27F21" w:rsidRPr="00F87F58">
        <w:rPr>
          <w:noProof/>
          <w:color w:val="000000" w:themeColor="text1"/>
          <w:position w:val="-12"/>
        </w:rPr>
        <w:object w:dxaOrig="720" w:dyaOrig="340" w14:anchorId="32BDE0A9">
          <v:shape id="_x0000_i1093" type="#_x0000_t75" alt="" style="width:36pt;height:16.9pt;mso-width-percent:0;mso-height-percent:0;mso-width-percent:0;mso-height-percent:0" o:ole="">
            <v:imagedata r:id="rId159" o:title=""/>
          </v:shape>
          <o:OLEObject Type="Embed" ProgID="Equation.DSMT4" ShapeID="_x0000_i1093" DrawAspect="Content" ObjectID="_1851521597" r:id="rId160"/>
        </w:object>
      </w:r>
      <w:r w:rsidR="00C8799A" w:rsidRPr="00B35CE0">
        <w:rPr>
          <w:color w:val="000000" w:themeColor="text1"/>
        </w:rPr>
        <w:t>; the mixing angle of Eq. (14) is then locked at its maximal value</w:t>
      </w:r>
      <w:r w:rsidR="00661AC2">
        <w:rPr>
          <w:color w:val="000000" w:themeColor="text1"/>
        </w:rPr>
        <w:t xml:space="preserve"> with </w:t>
      </w:r>
      <w:r w:rsidR="00794205" w:rsidRPr="00661AC2">
        <w:rPr>
          <w:noProof/>
          <w:color w:val="000000" w:themeColor="text1"/>
          <w:position w:val="-10"/>
        </w:rPr>
        <w:object w:dxaOrig="880" w:dyaOrig="300" w14:anchorId="4C2EFC6A">
          <v:shape id="_x0000_i1171" type="#_x0000_t75" alt="" style="width:43.75pt;height:15.25pt" o:ole="">
            <v:imagedata r:id="rId161" o:title=""/>
          </v:shape>
          <o:OLEObject Type="Embed" ProgID="Equation.DSMT4" ShapeID="_x0000_i1171" DrawAspect="Content" ObjectID="_1851521598" r:id="rId162"/>
        </w:object>
      </w:r>
      <w:r w:rsidR="00C8799A" w:rsidRPr="00B35CE0">
        <w:rPr>
          <w:color w:val="000000" w:themeColor="text1"/>
        </w:rPr>
        <w:t xml:space="preserve"> whatever the strength of the field or of the coupling. The two anti-aligned configurations therefore enter in equal proportion, and the four states separate cleanly into a triplet of parallel spin configurations and a single antiparallel one</w:t>
      </w:r>
      <w:r w:rsidR="00661AC2">
        <w:rPr>
          <w:color w:val="000000" w:themeColor="text1"/>
        </w:rPr>
        <w:t xml:space="preserve"> [15]</w:t>
      </w:r>
      <w:r w:rsidR="00C8799A" w:rsidRPr="00B35CE0">
        <w:rPr>
          <w:color w:val="000000" w:themeColor="text1"/>
        </w:rPr>
        <w:t>. The familiar singlet-triplet classification of two-electron physics is thus recovered directly from the bipartite Pauli equation, without any additional assumptions.</w:t>
      </w:r>
    </w:p>
    <w:p w14:paraId="189F6637" w14:textId="463D0B1D" w:rsidR="00C8799A" w:rsidRPr="00B35CE0" w:rsidRDefault="00C8799A" w:rsidP="00C8799A">
      <w:pPr>
        <w:tabs>
          <w:tab w:val="left" w:pos="567"/>
          <w:tab w:val="left" w:pos="2250"/>
          <w:tab w:val="left" w:pos="8910"/>
        </w:tabs>
        <w:spacing w:line="240" w:lineRule="auto"/>
        <w:ind w:firstLine="360"/>
        <w:rPr>
          <w:bCs/>
          <w:color w:val="000000" w:themeColor="text1"/>
        </w:rPr>
      </w:pPr>
      <w:r>
        <w:rPr>
          <w:color w:val="000000" w:themeColor="text1"/>
        </w:rPr>
        <w:t xml:space="preserve">Two consequences follow without further algebra. The external field acts within the triplet only, </w:t>
      </w:r>
      <w:r w:rsidR="008666F2" w:rsidRPr="008666F2">
        <w:rPr>
          <w:color w:val="000000" w:themeColor="text1"/>
        </w:rPr>
        <w:t>splitting the triplet manifold into three equally spaced levels</w:t>
      </w:r>
      <w:r w:rsidR="008666F2">
        <w:rPr>
          <w:color w:val="000000" w:themeColor="text1"/>
        </w:rPr>
        <w:t xml:space="preserve"> </w:t>
      </w:r>
      <w:r>
        <w:rPr>
          <w:color w:val="000000" w:themeColor="text1"/>
        </w:rPr>
        <w:t>while leaving the singlet where it is, so that the Zeeman response of the pair is selective rather than uniform; raising the field eventually brings one triplet branch into coincidence with the singlet, once the Zeeman splitting has grown to match the separation produced by the spin-spin coupling. That separation, in turn, owes nothing to the field.</w:t>
      </w:r>
      <w:r>
        <w:rPr>
          <w:color w:val="0000FF"/>
        </w:rPr>
        <w:t xml:space="preserve"> Based on </w:t>
      </w:r>
      <w:proofErr w:type="spellStart"/>
      <w:r>
        <w:rPr>
          <w:color w:val="0000FF"/>
        </w:rPr>
        <w:t>Eqs</w:t>
      </w:r>
      <w:proofErr w:type="spellEnd"/>
      <w:r>
        <w:rPr>
          <w:color w:val="0000FF"/>
        </w:rPr>
        <w:t>. (8) and (11), the singlet is separated from the unpolarized triplet by</w:t>
      </w:r>
      <w:r w:rsidR="007D284F">
        <w:rPr>
          <w:color w:val="0000FF"/>
        </w:rPr>
        <w:t xml:space="preserve"> </w:t>
      </w:r>
      <w:r w:rsidR="007D284F" w:rsidRPr="007D284F">
        <w:rPr>
          <w:color w:val="0000FF"/>
          <w:position w:val="-12"/>
        </w:rPr>
        <w:object w:dxaOrig="440" w:dyaOrig="340" w14:anchorId="22272AD8">
          <v:shape id="_x0000_i1139" type="#_x0000_t75" style="width:22pt;height:17pt" o:ole="">
            <v:imagedata r:id="rId163" o:title=""/>
          </v:shape>
          <o:OLEObject Type="Embed" ProgID="Equation.DSMT4" ShapeID="_x0000_i1139" DrawAspect="Content" ObjectID="_1851521599" r:id="rId164"/>
        </w:object>
      </w:r>
      <w:r>
        <w:rPr>
          <w:color w:val="0000FF"/>
        </w:rPr>
        <w:t xml:space="preserve"> It is readily seen that the coincidence occurs at</w:t>
      </w:r>
      <w:r w:rsidR="007D284F">
        <w:rPr>
          <w:color w:val="0000FF"/>
        </w:rPr>
        <w:t xml:space="preserve"> </w:t>
      </w:r>
      <w:r w:rsidR="007D284F" w:rsidRPr="007D284F">
        <w:rPr>
          <w:color w:val="0000FF"/>
          <w:position w:val="-12"/>
        </w:rPr>
        <w:object w:dxaOrig="1600" w:dyaOrig="340" w14:anchorId="4CF3D917">
          <v:shape id="_x0000_i1112" type="#_x0000_t75" style="width:80pt;height:17pt" o:ole="">
            <v:imagedata r:id="rId165" o:title=""/>
          </v:shape>
          <o:OLEObject Type="Embed" ProgID="Equation.DSMT4" ShapeID="_x0000_i1112" DrawAspect="Content" ObjectID="_1851521600" r:id="rId166"/>
        </w:object>
      </w:r>
      <w:r>
        <w:rPr>
          <w:color w:val="0000FF"/>
        </w:rPr>
        <w:t xml:space="preserve"> namely when the Zeeman energy equals the corresponding splitting. Note that the crossing is exact, since the two states belong to different blocks. For GaAs double quantum dots with</w:t>
      </w:r>
      <w:r w:rsidR="007D284F">
        <w:rPr>
          <w:color w:val="0000FF"/>
        </w:rPr>
        <w:t xml:space="preserve"> </w:t>
      </w:r>
      <w:r w:rsidR="009E2DAE" w:rsidRPr="009E2DAE">
        <w:rPr>
          <w:color w:val="0000FF"/>
          <w:position w:val="-10"/>
        </w:rPr>
        <w:object w:dxaOrig="920" w:dyaOrig="279" w14:anchorId="4892FDB6">
          <v:shape id="_x0000_i1179" type="#_x0000_t75" style="width:46pt;height:13.95pt" o:ole="">
            <v:imagedata r:id="rId167" o:title=""/>
          </v:shape>
          <o:OLEObject Type="Embed" ProgID="Equation.DSMT4" ShapeID="_x0000_i1179" DrawAspect="Content" ObjectID="_1851521601" r:id="rId168"/>
        </w:object>
      </w:r>
      <w:r>
        <w:rPr>
          <w:color w:val="0000FF"/>
        </w:rPr>
        <w:t>the Zeeman energy is about</w:t>
      </w:r>
      <w:r w:rsidR="007D284F">
        <w:rPr>
          <w:color w:val="0000FF"/>
        </w:rPr>
        <w:t xml:space="preserve"> </w:t>
      </w:r>
      <w:r w:rsidR="009E2DAE" w:rsidRPr="007D284F">
        <w:rPr>
          <w:color w:val="0000FF"/>
          <w:position w:val="-10"/>
        </w:rPr>
        <w:object w:dxaOrig="1260" w:dyaOrig="320" w14:anchorId="690F8E29">
          <v:shape id="_x0000_i1177" type="#_x0000_t75" style="width:63pt;height:16pt" o:ole="">
            <v:imagedata r:id="rId169" o:title=""/>
          </v:shape>
          <o:OLEObject Type="Embed" ProgID="Equation.DSMT4" ShapeID="_x0000_i1177" DrawAspect="Content" ObjectID="_1851521602" r:id="rId170"/>
        </w:object>
      </w:r>
      <w:r w:rsidR="007D284F">
        <w:rPr>
          <w:color w:val="0000FF"/>
        </w:rPr>
        <w:t xml:space="preserve"> </w:t>
      </w:r>
      <w:r>
        <w:rPr>
          <w:color w:val="0000FF"/>
        </w:rPr>
        <w:t xml:space="preserve">per tesla, such that a splitting of about </w:t>
      </w:r>
      <w:r w:rsidR="007D284F" w:rsidRPr="007D284F">
        <w:rPr>
          <w:color w:val="0000FF"/>
          <w:position w:val="-10"/>
        </w:rPr>
        <w:object w:dxaOrig="940" w:dyaOrig="320" w14:anchorId="65EC9B54">
          <v:shape id="_x0000_i1131" type="#_x0000_t75" style="width:47pt;height:16pt" o:ole="">
            <v:imagedata r:id="rId171" o:title=""/>
          </v:shape>
          <o:OLEObject Type="Embed" ProgID="Equation.DSMT4" ShapeID="_x0000_i1131" DrawAspect="Content" ObjectID="_1851521603" r:id="rId172"/>
        </w:object>
      </w:r>
      <w:r>
        <w:rPr>
          <w:color w:val="0000FF"/>
        </w:rPr>
        <w:t xml:space="preserve"> is compensated at </w:t>
      </w:r>
      <w:r w:rsidR="007D284F" w:rsidRPr="007D284F">
        <w:rPr>
          <w:color w:val="0000FF"/>
          <w:position w:val="-10"/>
        </w:rPr>
        <w:object w:dxaOrig="499" w:dyaOrig="279" w14:anchorId="6126BBB0">
          <v:shape id="_x0000_i1134" type="#_x0000_t75" style="width:24.95pt;height:13.95pt" o:ole="">
            <v:imagedata r:id="rId173" o:title=""/>
          </v:shape>
          <o:OLEObject Type="Embed" ProgID="Equation.DSMT4" ShapeID="_x0000_i1134" DrawAspect="Content" ObjectID="_1851521604" r:id="rId174"/>
        </w:object>
      </w:r>
      <w:r>
        <w:rPr>
          <w:color w:val="0000FF"/>
        </w:rPr>
        <w:t xml:space="preserve"> [18].</w:t>
      </w:r>
    </w:p>
    <w:p w14:paraId="3620FF4F" w14:textId="77777777" w:rsidR="006A4708" w:rsidRDefault="00000000">
      <w:pPr>
        <w:spacing w:line="240" w:lineRule="auto"/>
        <w:ind w:firstLine="360"/>
        <w:rPr>
          <w:lang w:val="id-ID"/>
        </w:rPr>
      </w:pPr>
      <w:r>
        <w:rPr>
          <w:color w:val="000000" w:themeColor="text1"/>
        </w:rPr>
        <w:t xml:space="preserve">It is </w:t>
      </w:r>
      <w:r w:rsidR="00F528A7">
        <w:rPr>
          <w:color w:val="000000" w:themeColor="text1"/>
        </w:rPr>
        <w:t xml:space="preserve">also </w:t>
      </w:r>
      <w:r>
        <w:rPr>
          <w:color w:val="000000" w:themeColor="text1"/>
        </w:rPr>
        <w:t xml:space="preserve">worth pausing </w:t>
      </w:r>
      <w:r w:rsidR="003851C5">
        <w:rPr>
          <w:color w:val="000000" w:themeColor="text1"/>
        </w:rPr>
        <w:t xml:space="preserve">to consider what the general case describes, since the two charges enter the spin Hamiltonian as </w:t>
      </w:r>
      <w:r>
        <w:rPr>
          <w:color w:val="000000" w:themeColor="text1"/>
        </w:rPr>
        <w:t xml:space="preserve">the </w:t>
      </w:r>
      <w:r w:rsidR="00F528A7">
        <w:rPr>
          <w:color w:val="000000" w:themeColor="text1"/>
        </w:rPr>
        <w:t xml:space="preserve">effective </w:t>
      </w:r>
      <w:r>
        <w:rPr>
          <w:color w:val="000000" w:themeColor="text1"/>
        </w:rPr>
        <w:t xml:space="preserve">Zeeman </w:t>
      </w:r>
      <w:r w:rsidR="00F528A7">
        <w:rPr>
          <w:color w:val="000000" w:themeColor="text1"/>
        </w:rPr>
        <w:t>charge</w:t>
      </w:r>
      <w:r>
        <w:rPr>
          <w:color w:val="000000" w:themeColor="text1"/>
        </w:rPr>
        <w:t>. Unequal values therefore do not require the two particles to carry different charges; they describe two spins that couple to the field with different strengths, a situation realized in an actual double dot either by a difference between the effective g-factors of the two dots or by a gradient of the magnetic field across them, such as the one produced by a micromagnet [16] or by a difference in the nuclear Overhauser field [17]. Equation (11) shows that this asymmetry and the spin-spin coupling add in quadrature, so that the splitting within the two-dimensional block is set by the two of them together, while Eq. (14) shows the mixing angle interpolating between the singlet-triplet basis, recovered when the asymmetry vanishes, and the simple product configurations, approached when it dominates. The two mechanisms therefore act as a pair of independent control axes, the spin-spin coupling rotating the state about one of them and the Zeeman asymmetry about the other, which is precisely the arrangement used to obtain full control over a singlet-triplet qubit [16, 17].</w:t>
      </w:r>
      <w:r>
        <w:rPr>
          <w:color w:val="FF0000"/>
        </w:rPr>
        <w:t xml:space="preserve"> Our results agree with experiments on GaAs and Si/</w:t>
      </w:r>
      <w:proofErr w:type="spellStart"/>
      <w:r>
        <w:rPr>
          <w:color w:val="FF0000"/>
        </w:rPr>
        <w:t>SiGe</w:t>
      </w:r>
      <w:proofErr w:type="spellEnd"/>
      <w:r>
        <w:rPr>
          <w:color w:val="FF0000"/>
        </w:rPr>
        <w:t xml:space="preserve"> double quantum dots. In GaAs, the singlet-triplet degeneracy is observed when the exchange energy equals the Zeeman energy [18], which is nothing but the coincidence condition obtained above. In the meantime, the quadrature form of Eq. (11) corresponds to the singlet-triplet oscillation frequency measured in GaAs [17] and Si/</w:t>
      </w:r>
      <w:proofErr w:type="spellStart"/>
      <w:r>
        <w:rPr>
          <w:color w:val="FF0000"/>
        </w:rPr>
        <w:t>SiGe</w:t>
      </w:r>
      <w:proofErr w:type="spellEnd"/>
      <w:r>
        <w:rPr>
          <w:color w:val="FF0000"/>
        </w:rPr>
        <w:t xml:space="preserve"> [16, 19] devices.</w:t>
      </w:r>
    </w:p>
    <w:p w14:paraId="2AEF3D70" w14:textId="77777777" w:rsidR="00042F15" w:rsidRDefault="00000000">
      <w:pPr>
        <w:spacing w:line="240" w:lineRule="auto"/>
        <w:ind w:firstLine="360"/>
        <w:rPr>
          <w:lang w:val="id-ID"/>
        </w:rPr>
      </w:pPr>
      <w:r>
        <w:rPr>
          <w:color w:val="FF0000"/>
        </w:rPr>
        <w:t>It is readily seen that the factorization into spatial and spin parts holds, since the spin Hamiltonian does not depend on the positions of the particles. The orbital state therefore enters only through the exchange coupling. However, this coupling changes when an electron occupies an excited orbital state. Based on Eq. (14), the corresponding mixing angle is then modified for unequal Zeeman charges, but it remains maximal for equal ones.</w:t>
      </w:r>
    </w:p>
    <w:p w14:paraId="3714ACF5" w14:textId="77777777" w:rsidR="00752B1F" w:rsidRDefault="00000000">
      <w:pPr>
        <w:spacing w:line="240" w:lineRule="auto"/>
        <w:ind w:firstLine="360"/>
        <w:rPr>
          <w:lang w:val="id-ID"/>
        </w:rPr>
      </w:pPr>
      <w:r>
        <w:rPr>
          <w:color w:val="0000FF"/>
        </w:rPr>
        <w:t>We emphasize that the present model rests on three assumptions, namely: each electron occupies the orbital ground state of its own dot, the magnetic field is static, and both the spin-orbit coupling and the dynamics of the nuclear spins are neglected. Under these assumptions, the model holds as long as the exchange and Zeeman energies remain small compared with the orbital level spacing and the charging energy. However, it does not describe the doubly occupied charge state, the orbital excitations, and the spin relaxation induced by the environment. These effects require an explicit solution of the spatial sector, and the corresponding extension is left for future work.</w:t>
      </w:r>
    </w:p>
    <w:p w14:paraId="2F3C007B" w14:textId="77777777" w:rsidR="00F12049" w:rsidRPr="00F12049" w:rsidRDefault="00C8799A" w:rsidP="00C8799A">
      <w:pPr>
        <w:spacing w:line="240" w:lineRule="auto"/>
        <w:ind w:firstLine="360"/>
        <w:rPr>
          <w:lang w:val="id-ID"/>
        </w:rPr>
      </w:pPr>
      <w:r>
        <w:rPr>
          <w:color w:val="000000" w:themeColor="text1"/>
        </w:rPr>
        <w:t>These features are what make the two-electron double quantum dot attractive as a building block for nanoelectronics. The singlet and one member of the triplet form a well-isolated pair of levels capable of encoding a qubit in the spin degree of freedom alone, leaving the charge configuration undisturbed. Their spacing is governed by spin-spin coupling, which, in a gate-defined structure, is set by the voltages applied to the electrodes, enabling logical operations to be driven electrically and at high speed without any locally applied magnetic field. The selective Zeeman response supplies the complementary control, since a uniform field displaces the triplet branches relative to the singlet and can steer the pair towards the coincidence noted above, which is the regime exploited when spin information is converted into a charge signal for readout. That all of this takes place in the same semiconductor material system as conventional electronics is what makes spin-based double-dot architectures a plausible route towards integrated quantum nanoelectronics.</w:t>
      </w:r>
    </w:p>
    <w:p w14:paraId="2BEB417B" w14:textId="77777777" w:rsidR="00C8799A" w:rsidRPr="00C8799A" w:rsidRDefault="00C8799A" w:rsidP="00C8799A">
      <w:pPr>
        <w:pStyle w:val="heading1"/>
      </w:pPr>
      <w:r w:rsidRPr="00C8799A">
        <w:t>Conclusion</w:t>
      </w:r>
    </w:p>
    <w:p w14:paraId="7B3BDA81" w14:textId="77777777" w:rsidR="00C8799A" w:rsidRPr="00C8799A" w:rsidRDefault="00C8799A" w:rsidP="003851C5">
      <w:pPr>
        <w:tabs>
          <w:tab w:val="left" w:pos="4140"/>
          <w:tab w:val="left" w:pos="8910"/>
        </w:tabs>
        <w:spacing w:before="20" w:line="240" w:lineRule="auto"/>
        <w:ind w:firstLine="360"/>
        <w:rPr>
          <w:noProof/>
          <w:color w:val="000000" w:themeColor="text1"/>
        </w:rPr>
      </w:pPr>
      <w:r w:rsidRPr="00C8799A">
        <w:rPr>
          <w:noProof/>
          <w:color w:val="000000" w:themeColor="text1"/>
        </w:rPr>
        <w:t xml:space="preserve">We have </w:t>
      </w:r>
      <w:r w:rsidR="003851C5">
        <w:rPr>
          <w:noProof/>
          <w:color w:val="000000" w:themeColor="text1"/>
        </w:rPr>
        <w:t>analyzed</w:t>
      </w:r>
      <w:r w:rsidRPr="00C8799A">
        <w:rPr>
          <w:noProof/>
          <w:color w:val="000000" w:themeColor="text1"/>
        </w:rPr>
        <w:t xml:space="preserve"> the spin dynamics of a double quantum dot within the framework of the bipartite Pauli equation, retaining the spin-spin interaction between the two confined spin</w:t>
      </w:r>
      <w:r w:rsidR="00B27F21" w:rsidRPr="00C8799A">
        <w:rPr>
          <w:noProof/>
          <w:color w:val="000000" w:themeColor="text1"/>
          <w:position w:val="-10"/>
        </w:rPr>
        <w:object w:dxaOrig="460" w:dyaOrig="300" w14:anchorId="665F7CD8">
          <v:shape id="_x0000_i1095" type="#_x0000_t75" alt="" style="width:22.9pt;height:14.75pt;mso-width-percent:0;mso-height-percent:0;mso-width-percent:0;mso-height-percent:0" o:ole="">
            <v:imagedata r:id="rId175" o:title=""/>
          </v:shape>
          <o:OLEObject Type="Embed" ProgID="Equation.DSMT4" ShapeID="_x0000_i1095" DrawAspect="Content" ObjectID="_1851521605" r:id="rId176"/>
        </w:object>
      </w:r>
      <w:r w:rsidRPr="00C8799A">
        <w:rPr>
          <w:noProof/>
          <w:color w:val="000000" w:themeColor="text1"/>
        </w:rPr>
        <w:t xml:space="preserve"> components instead of discarding it. The magnetic vector potential was taken as a one-dimensional linear function </w:t>
      </w:r>
      <w:r w:rsidR="003851C5">
        <w:rPr>
          <w:noProof/>
          <w:color w:val="000000" w:themeColor="text1"/>
        </w:rPr>
        <w:t>that obeys the Coulomb gauge condition, which fixes the magnitude and orientation of the constant field acting on the spin sector, while the Coulomb interaction between the two charges was retained in the spatial part of the Hamiltonian and did not enter</w:t>
      </w:r>
      <w:r w:rsidRPr="00C8799A">
        <w:rPr>
          <w:noProof/>
          <w:color w:val="000000" w:themeColor="text1"/>
        </w:rPr>
        <w:t xml:space="preserve"> the spin problem. For the single spin</w:t>
      </w:r>
      <w:r w:rsidR="00B27F21" w:rsidRPr="00C8799A">
        <w:rPr>
          <w:noProof/>
          <w:color w:val="000000" w:themeColor="text1"/>
          <w:position w:val="-10"/>
        </w:rPr>
        <w:object w:dxaOrig="460" w:dyaOrig="300" w14:anchorId="04FED041">
          <v:shape id="_x0000_i1096" type="#_x0000_t75" alt="" style="width:22.9pt;height:14.75pt;mso-width-percent:0;mso-height-percent:0;mso-width-percent:0;mso-height-percent:0" o:ole="">
            <v:imagedata r:id="rId177" o:title=""/>
          </v:shape>
          <o:OLEObject Type="Embed" ProgID="Equation.DSMT4" ShapeID="_x0000_i1096" DrawAspect="Content" ObjectID="_1851521606" r:id="rId178"/>
        </w:object>
      </w:r>
      <w:r w:rsidRPr="00C8799A">
        <w:rPr>
          <w:noProof/>
          <w:color w:val="000000" w:themeColor="text1"/>
        </w:rPr>
        <w:t xml:space="preserve"> particle</w:t>
      </w:r>
      <w:r w:rsidR="003851C5">
        <w:rPr>
          <w:noProof/>
          <w:color w:val="000000" w:themeColor="text1"/>
        </w:rPr>
        <w:t>,</w:t>
      </w:r>
      <w:r w:rsidRPr="00C8799A">
        <w:rPr>
          <w:noProof/>
          <w:color w:val="000000" w:themeColor="text1"/>
        </w:rPr>
        <w:t xml:space="preserve"> we obtained the eigenvalues and eigenspinors of the spin Hamiltonian in closed form, </w:t>
      </w:r>
      <w:r w:rsidR="003851C5">
        <w:rPr>
          <w:noProof/>
          <w:color w:val="000000" w:themeColor="text1"/>
        </w:rPr>
        <w:t>which were then used to construct</w:t>
      </w:r>
      <w:r w:rsidRPr="00C8799A">
        <w:rPr>
          <w:noProof/>
          <w:color w:val="000000" w:themeColor="text1"/>
        </w:rPr>
        <w:t xml:space="preserve"> the product basis for the bipartite construction.</w:t>
      </w:r>
    </w:p>
    <w:p w14:paraId="423A8A5D" w14:textId="77777777" w:rsidR="00C8799A" w:rsidRPr="00C8799A" w:rsidRDefault="003851C5" w:rsidP="003851C5">
      <w:pPr>
        <w:tabs>
          <w:tab w:val="left" w:pos="4140"/>
          <w:tab w:val="left" w:pos="8910"/>
        </w:tabs>
        <w:spacing w:before="20" w:line="240" w:lineRule="auto"/>
        <w:ind w:firstLine="360"/>
        <w:rPr>
          <w:noProof/>
          <w:color w:val="000000" w:themeColor="text1"/>
        </w:rPr>
      </w:pPr>
      <w:r>
        <w:rPr>
          <w:noProof/>
          <w:color w:val="000000" w:themeColor="text1"/>
        </w:rPr>
        <w:t>On that basis, the four-dimensional spin Hamiltonian was found to decompose into two one-dimensional blocks, spanned by the aligned configurations, and one two-dimensional block that couples the anti-aligned configurations, which allowed the eigenvalues, the eigenbispinors,</w:t>
      </w:r>
      <w:r w:rsidR="00C8799A" w:rsidRPr="00C8799A">
        <w:rPr>
          <w:noProof/>
          <w:color w:val="000000" w:themeColor="text1"/>
        </w:rPr>
        <w:t xml:space="preserve"> and the mixing angle to be obtained analytically. Classifying the four states by their total spin showed that the Zeeman splitting is carried by the triplet levels alone, the singlet being displaced from them by the spin-spin coupling only, so that the Zeeman response of a bipartite spin</w:t>
      </w:r>
      <w:r w:rsidR="00B27F21" w:rsidRPr="00C8799A">
        <w:rPr>
          <w:noProof/>
          <w:color w:val="000000" w:themeColor="text1"/>
          <w:position w:val="-10"/>
        </w:rPr>
        <w:object w:dxaOrig="460" w:dyaOrig="300" w14:anchorId="2D11694F">
          <v:shape id="_x0000_i1097" type="#_x0000_t75" alt="" style="width:22.9pt;height:14.75pt;mso-width-percent:0;mso-height-percent:0;mso-width-percent:0;mso-height-percent:0" o:ole="">
            <v:imagedata r:id="rId179" o:title=""/>
          </v:shape>
          <o:OLEObject Type="Embed" ProgID="Equation.DSMT4" ShapeID="_x0000_i1097" DrawAspect="Content" ObjectID="_1851521607" r:id="rId180"/>
        </w:object>
      </w:r>
      <w:r w:rsidR="00C8799A" w:rsidRPr="00C8799A">
        <w:rPr>
          <w:noProof/>
          <w:color w:val="000000" w:themeColor="text1"/>
        </w:rPr>
        <w:t xml:space="preserve"> system is selective rather than uniform. For the charge-symmetric case </w:t>
      </w:r>
      <w:r>
        <w:rPr>
          <w:noProof/>
          <w:color w:val="000000" w:themeColor="text1"/>
        </w:rPr>
        <w:t>realized</w:t>
      </w:r>
      <w:r w:rsidR="00C8799A" w:rsidRPr="00C8799A">
        <w:rPr>
          <w:noProof/>
          <w:color w:val="000000" w:themeColor="text1"/>
        </w:rPr>
        <w:t xml:space="preserve"> by a two-electron DQD, the mixing angle is locked at its maximal value irrespective of the field and coupling strengths, so that the exact singlet and triplet states emerge directly from the bipartite Pauli equation, and increasing the field eventually brings one triplet branch into coincidence with the singlet.</w:t>
      </w:r>
    </w:p>
    <w:p w14:paraId="5ADAE33B" w14:textId="77777777" w:rsidR="00C8799A" w:rsidRPr="00C8799A" w:rsidRDefault="00C8799A" w:rsidP="003851C5">
      <w:pPr>
        <w:tabs>
          <w:tab w:val="left" w:pos="4140"/>
          <w:tab w:val="left" w:pos="8910"/>
        </w:tabs>
        <w:spacing w:before="20" w:line="240" w:lineRule="auto"/>
        <w:ind w:firstLine="360"/>
        <w:rPr>
          <w:noProof/>
          <w:color w:val="000000" w:themeColor="text1"/>
        </w:rPr>
      </w:pPr>
      <w:r>
        <w:rPr>
          <w:noProof/>
          <w:color w:val="000000" w:themeColor="text1"/>
        </w:rPr>
        <w:t>These results give a compact analytical account of how the spin-spin interaction organizes the spectrum of a confined bipartite spin</w:t>
      </w:r>
      <w:r w:rsidR="00B27F21" w:rsidRPr="00C8799A">
        <w:rPr>
          <w:noProof/>
          <w:color w:val="000000" w:themeColor="text1"/>
          <w:position w:val="-10"/>
        </w:rPr>
        <w:object w:dxaOrig="460" w:dyaOrig="300" w14:anchorId="38EAFFB4">
          <v:shape id="_x0000_i1098" type="#_x0000_t75" alt="" style="width:22.9pt;height:14.75pt;mso-width-percent:0;mso-height-percent:0;mso-width-percent:0;mso-height-percent:0" o:ole="">
            <v:imagedata r:id="rId181" o:title=""/>
          </v:shape>
          <o:OLEObject Type="Embed" ProgID="Equation.DSMT4" ShapeID="_x0000_i1098" DrawAspect="Content" ObjectID="_1851521608" r:id="rId182"/>
        </w:object>
      </w:r>
      <w:r>
        <w:rPr>
          <w:noProof/>
          <w:color w:val="000000" w:themeColor="text1"/>
        </w:rPr>
        <w:t xml:space="preserve"> system, and they identify the quantities that matter for nanoelectronic applications: the electrically tunable singlet-triplet separation that defines a spin qubit and the selective Zeeman response that supplies the complementary control and the readout regime. Extending the present treatment to the spatial sector, so that the orbital and spin contributions to the total energy may be examined together, is left for future work.</w:t>
      </w:r>
    </w:p>
    <w:p w14:paraId="1A4C3949" w14:textId="77777777" w:rsidR="00042F15" w:rsidRDefault="00000000">
      <w:pPr>
        <w:tabs>
          <w:tab w:val="left" w:pos="4140"/>
          <w:tab w:val="left" w:pos="8910"/>
        </w:tabs>
        <w:spacing w:before="20" w:after="240" w:line="240" w:lineRule="auto"/>
        <w:ind w:firstLine="360"/>
        <w:rPr>
          <w:noProof/>
          <w:color w:val="000000" w:themeColor="text1"/>
        </w:rPr>
      </w:pPr>
      <w:r>
        <w:rPr>
          <w:noProof/>
          <w:color w:val="FF0000"/>
        </w:rPr>
        <w:t>To this end, it is important to emphasize that the block structure is not restricted to two spins. For a chain of dots, the total spin projection along the field remains conserved if the exchange is isotropic and the Zeeman fields are collinear. This holds even for different Zeeman strengths. In this case, the corresponding blocks have dimensions given by the binomial coefficients, namely: 1, 3, 3, and 1 for a triple quantum dot, which still admits closed-form solutions. Our future work will extend the model to such multi-dot arrays [15], together with spin-orbit coupling.</w:t>
      </w:r>
    </w:p>
    <w:p w14:paraId="793E59BE" w14:textId="77777777" w:rsidR="00D928D7" w:rsidRDefault="00D928D7" w:rsidP="00606587">
      <w:pPr>
        <w:pStyle w:val="heading1"/>
        <w:numPr>
          <w:ilvl w:val="0"/>
          <w:numId w:val="0"/>
        </w:numPr>
        <w:ind w:left="567" w:hanging="567"/>
      </w:pPr>
      <w:r>
        <w:t>Acknowledgment</w:t>
      </w:r>
    </w:p>
    <w:p w14:paraId="6805BF03" w14:textId="77777777" w:rsidR="00D928D7" w:rsidRPr="00D928D7" w:rsidRDefault="00D928D7" w:rsidP="00D928D7">
      <w:pPr>
        <w:pStyle w:val="p1a"/>
      </w:pPr>
      <w:r w:rsidRPr="00D928D7">
        <w:t>This work is funded by the World Class Research (WCR) grant in 2022 from the Ministry of Education, Culture, Research and Technology, Republic of Indonesia, under contract No. 3732/IT3.L1/PT.01.03/P/B/2022.</w:t>
      </w:r>
    </w:p>
    <w:p w14:paraId="3F7DD2FF" w14:textId="77777777" w:rsidR="007B3119" w:rsidRDefault="009B2539" w:rsidP="00606587">
      <w:pPr>
        <w:pStyle w:val="heading1"/>
        <w:numPr>
          <w:ilvl w:val="0"/>
          <w:numId w:val="0"/>
        </w:numPr>
        <w:ind w:left="567" w:hanging="567"/>
      </w:pPr>
      <w:r>
        <w:t>References</w:t>
      </w:r>
    </w:p>
    <w:p w14:paraId="5914529B"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Sakurai, J. J., &amp; Napolitano, J., Modern Quantum Mechanics (3rd ed.), (2020) Cambridge University Press. DOI: 10.1017/9781108587280</w:t>
      </w:r>
    </w:p>
    <w:p w14:paraId="7BB1F991" w14:textId="77777777" w:rsidR="00C8799A" w:rsidRPr="00C8799A" w:rsidRDefault="00C8799A" w:rsidP="00C8799A">
      <w:pPr>
        <w:pStyle w:val="ListParagraph"/>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
    <w:p w14:paraId="75C03A24"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Commins E. D., Electron spin and its history, (2012) Annual Review of Nuclear and Particle Science, 62, pp. 133 – 157. DOI: 10.1146/annurev-nucl-102711-094908</w:t>
      </w:r>
    </w:p>
    <w:p w14:paraId="6A836AB1" w14:textId="77777777" w:rsidR="00C8799A" w:rsidRPr="00C8799A" w:rsidRDefault="00C8799A" w:rsidP="00C8799A">
      <w:pPr>
        <w:pStyle w:val="ListParagraph"/>
        <w:ind w:left="360"/>
        <w:rPr>
          <w:rFonts w:ascii="Times New Roman" w:eastAsia="SimSun" w:hAnsi="Times New Roman" w:cs="Times New Roman"/>
          <w:bCs/>
          <w:color w:val="000000"/>
          <w:sz w:val="20"/>
          <w:lang w:eastAsia="en-US"/>
        </w:rPr>
      </w:pPr>
    </w:p>
    <w:p w14:paraId="4EA0ECA1"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Kox A. J., The discovery of the electron: II. The Zeeman effect, (1997) European Journal of Physics, 18 (3), pp. 139 – 144. DOI: 10.1088/0143-0807/18/3/003</w:t>
      </w:r>
    </w:p>
    <w:p w14:paraId="0EA2BEA6" w14:textId="77777777" w:rsidR="00C8799A" w:rsidRPr="00C8799A" w:rsidRDefault="00C8799A" w:rsidP="00C8799A">
      <w:pPr>
        <w:pStyle w:val="ListParagraph"/>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
    <w:p w14:paraId="147897D6" w14:textId="77777777" w:rsidR="00C8799A" w:rsidRPr="00C8799A" w:rsidRDefault="00C8799A" w:rsidP="00C8799A">
      <w:pPr>
        <w:pStyle w:val="ListParagraph"/>
        <w:numPr>
          <w:ilvl w:val="0"/>
          <w:numId w:val="10"/>
        </w:numPr>
        <w:tabs>
          <w:tab w:val="left" w:pos="4140"/>
          <w:tab w:val="left" w:pos="8910"/>
        </w:tabs>
        <w:spacing w:before="20" w:after="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Schmidt-</w:t>
      </w:r>
      <w:proofErr w:type="spellStart"/>
      <w:r w:rsidRPr="00C8799A">
        <w:rPr>
          <w:rFonts w:ascii="Times New Roman" w:eastAsia="SimSun" w:hAnsi="Times New Roman" w:cs="Times New Roman"/>
          <w:bCs/>
          <w:color w:val="000000"/>
          <w:sz w:val="20"/>
          <w:lang w:eastAsia="en-US"/>
        </w:rPr>
        <w:t>Böcking</w:t>
      </w:r>
      <w:proofErr w:type="spellEnd"/>
      <w:r w:rsidRPr="00C8799A">
        <w:rPr>
          <w:rFonts w:ascii="Times New Roman" w:eastAsia="SimSun" w:hAnsi="Times New Roman" w:cs="Times New Roman"/>
          <w:bCs/>
          <w:color w:val="000000"/>
          <w:sz w:val="20"/>
          <w:lang w:eastAsia="en-US"/>
        </w:rPr>
        <w:t xml:space="preserve"> H., Schmidt L., </w:t>
      </w:r>
      <w:proofErr w:type="spellStart"/>
      <w:r w:rsidRPr="00C8799A">
        <w:rPr>
          <w:rFonts w:ascii="Times New Roman" w:eastAsia="SimSun" w:hAnsi="Times New Roman" w:cs="Times New Roman"/>
          <w:bCs/>
          <w:color w:val="000000"/>
          <w:sz w:val="20"/>
          <w:lang w:eastAsia="en-US"/>
        </w:rPr>
        <w:t>Lüdde</w:t>
      </w:r>
      <w:proofErr w:type="spellEnd"/>
      <w:r w:rsidRPr="00C8799A">
        <w:rPr>
          <w:rFonts w:ascii="Times New Roman" w:eastAsia="SimSun" w:hAnsi="Times New Roman" w:cs="Times New Roman"/>
          <w:bCs/>
          <w:color w:val="000000"/>
          <w:sz w:val="20"/>
          <w:lang w:eastAsia="en-US"/>
        </w:rPr>
        <w:t xml:space="preserve"> H. J., Trageser W., Templeton A., Sauer T., The Stern-Gerlach experiment revisited, (2016) European Physical Journal H, 41 (4-5), pp. 327 – 364. DOI: 10.1140/</w:t>
      </w:r>
      <w:proofErr w:type="spellStart"/>
      <w:r w:rsidRPr="00C8799A">
        <w:rPr>
          <w:rFonts w:ascii="Times New Roman" w:eastAsia="SimSun" w:hAnsi="Times New Roman" w:cs="Times New Roman"/>
          <w:bCs/>
          <w:color w:val="000000"/>
          <w:sz w:val="20"/>
          <w:lang w:eastAsia="en-US"/>
        </w:rPr>
        <w:t>epjh</w:t>
      </w:r>
      <w:proofErr w:type="spellEnd"/>
      <w:r w:rsidRPr="00C8799A">
        <w:rPr>
          <w:rFonts w:ascii="Times New Roman" w:eastAsia="SimSun" w:hAnsi="Times New Roman" w:cs="Times New Roman"/>
          <w:bCs/>
          <w:color w:val="000000"/>
          <w:sz w:val="20"/>
          <w:lang w:eastAsia="en-US"/>
        </w:rPr>
        <w:t>/e2016-70053-2</w:t>
      </w:r>
    </w:p>
    <w:p w14:paraId="7165A2B0" w14:textId="77777777" w:rsidR="00C8799A" w:rsidRPr="00C8799A" w:rsidRDefault="00C8799A" w:rsidP="00C8799A">
      <w:pPr>
        <w:pStyle w:val="ListParagraph"/>
        <w:tabs>
          <w:tab w:val="left" w:pos="4140"/>
          <w:tab w:val="left" w:pos="8910"/>
        </w:tabs>
        <w:spacing w:line="240" w:lineRule="auto"/>
        <w:ind w:left="360"/>
        <w:jc w:val="both"/>
        <w:rPr>
          <w:rFonts w:ascii="Times New Roman" w:eastAsia="SimSun" w:hAnsi="Times New Roman" w:cs="Times New Roman"/>
          <w:bCs/>
          <w:color w:val="000000"/>
          <w:sz w:val="20"/>
          <w:lang w:eastAsia="en-US"/>
        </w:rPr>
      </w:pPr>
    </w:p>
    <w:p w14:paraId="631F31BF" w14:textId="77777777" w:rsidR="00C8799A" w:rsidRPr="00C8799A" w:rsidRDefault="00C8799A" w:rsidP="00C8799A">
      <w:pPr>
        <w:pStyle w:val="ListParagraph"/>
        <w:numPr>
          <w:ilvl w:val="0"/>
          <w:numId w:val="10"/>
        </w:numPr>
        <w:tabs>
          <w:tab w:val="left" w:pos="4140"/>
          <w:tab w:val="left" w:pos="8910"/>
        </w:tabs>
        <w:spacing w:before="24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Wilkes J. M., The Pauli and Lévy-Leblond equations, and the spin current density, (2020) European Journal of Physics, 41 (3), art. no. 035402. DOI: 10.1088/1361-6404/ab7495</w:t>
      </w:r>
    </w:p>
    <w:p w14:paraId="3EC4574F" w14:textId="77777777" w:rsidR="00C8799A" w:rsidRPr="00C8799A" w:rsidRDefault="00C8799A" w:rsidP="00C8799A">
      <w:pPr>
        <w:pStyle w:val="ListParagraph"/>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
    <w:p w14:paraId="0D565342"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roofErr w:type="spellStart"/>
      <w:r w:rsidRPr="00C8799A">
        <w:rPr>
          <w:rFonts w:ascii="Times New Roman" w:eastAsia="SimSun" w:hAnsi="Times New Roman" w:cs="Times New Roman"/>
          <w:bCs/>
          <w:color w:val="000000"/>
          <w:sz w:val="20"/>
          <w:lang w:eastAsia="en-US"/>
        </w:rPr>
        <w:t>Chuprikov</w:t>
      </w:r>
      <w:proofErr w:type="spellEnd"/>
      <w:r w:rsidRPr="00C8799A">
        <w:rPr>
          <w:rFonts w:ascii="Times New Roman" w:eastAsia="SimSun" w:hAnsi="Times New Roman" w:cs="Times New Roman"/>
          <w:bCs/>
          <w:color w:val="000000"/>
          <w:sz w:val="20"/>
          <w:lang w:eastAsia="en-US"/>
        </w:rPr>
        <w:t xml:space="preserve"> N.L., The Stationary Dirac Equation as a Generalized Pauli Equation for Two Quasiparticles, (2015) Foundations of Physics, 45 (6), pp. 644 – 656. DOI: 10.1007/s10701-015-9888-3</w:t>
      </w:r>
    </w:p>
    <w:p w14:paraId="43C4D17C" w14:textId="77777777" w:rsidR="00C8799A" w:rsidRPr="00C8799A" w:rsidRDefault="00C8799A" w:rsidP="00C8799A">
      <w:pPr>
        <w:pStyle w:val="ListParagraph"/>
        <w:ind w:left="360"/>
        <w:rPr>
          <w:rFonts w:ascii="Times New Roman" w:eastAsia="SimSun" w:hAnsi="Times New Roman" w:cs="Times New Roman"/>
          <w:bCs/>
          <w:color w:val="000000"/>
          <w:sz w:val="20"/>
          <w:lang w:eastAsia="en-US"/>
        </w:rPr>
      </w:pPr>
    </w:p>
    <w:p w14:paraId="70A558F6"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 xml:space="preserve">Alatas H., Aziz A. N., </w:t>
      </w:r>
      <w:proofErr w:type="spellStart"/>
      <w:r w:rsidRPr="00C8799A">
        <w:rPr>
          <w:rFonts w:ascii="Times New Roman" w:eastAsia="SimSun" w:hAnsi="Times New Roman" w:cs="Times New Roman"/>
          <w:bCs/>
          <w:color w:val="000000"/>
          <w:sz w:val="20"/>
          <w:lang w:eastAsia="en-US"/>
        </w:rPr>
        <w:t>Hardhienata</w:t>
      </w:r>
      <w:proofErr w:type="spellEnd"/>
      <w:r w:rsidRPr="00C8799A">
        <w:rPr>
          <w:rFonts w:ascii="Times New Roman" w:eastAsia="SimSun" w:hAnsi="Times New Roman" w:cs="Times New Roman"/>
          <w:bCs/>
          <w:color w:val="000000"/>
          <w:sz w:val="20"/>
          <w:lang w:eastAsia="en-US"/>
        </w:rPr>
        <w:t xml:space="preserve"> H., Derivation of Pauli Equation and its Bipartite Form based on </w:t>
      </w:r>
      <w:proofErr w:type="spellStart"/>
      <w:r w:rsidRPr="00C8799A">
        <w:rPr>
          <w:rFonts w:ascii="Times New Roman" w:eastAsia="SimSun" w:hAnsi="Times New Roman" w:cs="Times New Roman"/>
          <w:bCs/>
          <w:color w:val="000000"/>
          <w:sz w:val="20"/>
          <w:lang w:eastAsia="en-US"/>
        </w:rPr>
        <w:t>Budiyono</w:t>
      </w:r>
      <w:proofErr w:type="spellEnd"/>
      <w:r w:rsidRPr="00C8799A">
        <w:rPr>
          <w:rFonts w:ascii="Times New Roman" w:eastAsia="SimSun" w:hAnsi="Times New Roman" w:cs="Times New Roman"/>
          <w:bCs/>
          <w:color w:val="000000"/>
          <w:sz w:val="20"/>
          <w:lang w:eastAsia="en-US"/>
        </w:rPr>
        <w:t>-Rohrlich Ontic Extension and Epistemic Restriction of Statistical Model of Quantum Mechanics, (2022) Chinese Journal of Physics, 75, pp. 246 – 255. DOI: 10.1016/j.cjph.2020.11.004</w:t>
      </w:r>
    </w:p>
    <w:p w14:paraId="1252CA2F" w14:textId="77777777" w:rsidR="00C8799A" w:rsidRPr="00C8799A" w:rsidRDefault="00C8799A" w:rsidP="00C8799A">
      <w:pPr>
        <w:pStyle w:val="ListParagraph"/>
        <w:ind w:left="360"/>
        <w:rPr>
          <w:rFonts w:ascii="Times New Roman" w:eastAsia="SimSun" w:hAnsi="Times New Roman" w:cs="Times New Roman"/>
          <w:bCs/>
          <w:color w:val="000000"/>
          <w:sz w:val="20"/>
          <w:lang w:eastAsia="en-US"/>
        </w:rPr>
      </w:pPr>
    </w:p>
    <w:p w14:paraId="0D232772"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 xml:space="preserve">Miyashita S., </w:t>
      </w:r>
      <w:proofErr w:type="spellStart"/>
      <w:r w:rsidRPr="00C8799A">
        <w:rPr>
          <w:rFonts w:ascii="Times New Roman" w:eastAsia="SimSun" w:hAnsi="Times New Roman" w:cs="Times New Roman"/>
          <w:bCs/>
          <w:color w:val="000000"/>
          <w:sz w:val="20"/>
          <w:lang w:eastAsia="en-US"/>
        </w:rPr>
        <w:t>Nagaosa</w:t>
      </w:r>
      <w:proofErr w:type="spellEnd"/>
      <w:r w:rsidRPr="00C8799A">
        <w:rPr>
          <w:rFonts w:ascii="Times New Roman" w:eastAsia="SimSun" w:hAnsi="Times New Roman" w:cs="Times New Roman"/>
          <w:bCs/>
          <w:color w:val="000000"/>
          <w:sz w:val="20"/>
          <w:lang w:eastAsia="en-US"/>
        </w:rPr>
        <w:t xml:space="preserve"> N., Quantum tunneling in half-integer spin systems, (2001) Progress of Theoretical Physics, 106 (3), pp. 533 – 549. DOI: 10.1143/PTP.106.533</w:t>
      </w:r>
    </w:p>
    <w:p w14:paraId="18AD0700" w14:textId="77777777" w:rsidR="00C8799A" w:rsidRPr="00C8799A" w:rsidRDefault="00C8799A" w:rsidP="00C8799A">
      <w:pPr>
        <w:pStyle w:val="ListParagraph"/>
        <w:ind w:left="360"/>
        <w:rPr>
          <w:rFonts w:ascii="Times New Roman" w:eastAsia="SimSun" w:hAnsi="Times New Roman" w:cs="Times New Roman"/>
          <w:bCs/>
          <w:color w:val="000000"/>
          <w:sz w:val="20"/>
          <w:lang w:eastAsia="en-US"/>
        </w:rPr>
      </w:pPr>
    </w:p>
    <w:p w14:paraId="40F24286"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 xml:space="preserve">Hanson R., Kouwenhoven L. P., Petta J. R., </w:t>
      </w:r>
      <w:proofErr w:type="spellStart"/>
      <w:r w:rsidRPr="00C8799A">
        <w:rPr>
          <w:rFonts w:ascii="Times New Roman" w:eastAsia="SimSun" w:hAnsi="Times New Roman" w:cs="Times New Roman"/>
          <w:bCs/>
          <w:color w:val="000000"/>
          <w:sz w:val="20"/>
          <w:lang w:eastAsia="en-US"/>
        </w:rPr>
        <w:t>Tarucha</w:t>
      </w:r>
      <w:proofErr w:type="spellEnd"/>
      <w:r w:rsidRPr="00C8799A">
        <w:rPr>
          <w:rFonts w:ascii="Times New Roman" w:eastAsia="SimSun" w:hAnsi="Times New Roman" w:cs="Times New Roman"/>
          <w:bCs/>
          <w:color w:val="000000"/>
          <w:sz w:val="20"/>
          <w:lang w:eastAsia="en-US"/>
        </w:rPr>
        <w:t xml:space="preserve"> S., </w:t>
      </w:r>
      <w:proofErr w:type="spellStart"/>
      <w:r w:rsidRPr="00C8799A">
        <w:rPr>
          <w:rFonts w:ascii="Times New Roman" w:eastAsia="SimSun" w:hAnsi="Times New Roman" w:cs="Times New Roman"/>
          <w:bCs/>
          <w:color w:val="000000"/>
          <w:sz w:val="20"/>
          <w:lang w:eastAsia="en-US"/>
        </w:rPr>
        <w:t>Vandersypen</w:t>
      </w:r>
      <w:proofErr w:type="spellEnd"/>
      <w:r w:rsidRPr="00C8799A">
        <w:rPr>
          <w:rFonts w:ascii="Times New Roman" w:eastAsia="SimSun" w:hAnsi="Times New Roman" w:cs="Times New Roman"/>
          <w:bCs/>
          <w:color w:val="000000"/>
          <w:sz w:val="20"/>
          <w:lang w:eastAsia="en-US"/>
        </w:rPr>
        <w:t xml:space="preserve"> L. M. K., Spins in few-electron quantum dots, (2007) Reviews of Modern Physics, 79 (4), pp. 1217 – 1265. DOI: 10.1103/RevModPhys.79.1217</w:t>
      </w:r>
    </w:p>
    <w:p w14:paraId="28EED903" w14:textId="77777777" w:rsidR="00C8799A" w:rsidRPr="00C8799A" w:rsidRDefault="00C8799A" w:rsidP="00C8799A">
      <w:pPr>
        <w:pStyle w:val="ListParagraph"/>
        <w:ind w:left="360"/>
        <w:rPr>
          <w:rFonts w:ascii="Times New Roman" w:eastAsia="SimSun" w:hAnsi="Times New Roman" w:cs="Times New Roman"/>
          <w:bCs/>
          <w:color w:val="000000"/>
          <w:sz w:val="20"/>
          <w:lang w:eastAsia="en-US"/>
        </w:rPr>
      </w:pPr>
    </w:p>
    <w:p w14:paraId="6E0802C2"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Singh R., Tuning fine structure splitting and exciton emission energy in semiconductor quantum dots, (2018) Journal of Luminescence, 202, pp. 118 – 131. DOI: 10.1016/j.jlumin.2018.05.005</w:t>
      </w:r>
    </w:p>
    <w:p w14:paraId="445EAEEF" w14:textId="77777777" w:rsidR="00C8799A" w:rsidRPr="00C8799A" w:rsidRDefault="00C8799A" w:rsidP="00C8799A">
      <w:pPr>
        <w:pStyle w:val="ListParagraph"/>
        <w:ind w:left="360"/>
        <w:rPr>
          <w:rFonts w:ascii="Times New Roman" w:eastAsia="SimSun" w:hAnsi="Times New Roman" w:cs="Times New Roman"/>
          <w:bCs/>
          <w:color w:val="000000"/>
          <w:sz w:val="20"/>
          <w:lang w:eastAsia="en-US"/>
        </w:rPr>
      </w:pPr>
    </w:p>
    <w:p w14:paraId="7F69D439"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Sang C. C., Chen Z. B., Sun Y., Shen X. Z., Hu F., Ma J., Wang X. L., Hyperfine structure and 2s-2p transition in C-like Fe, Co and Ni, (2019) Journal of Electron Spectroscopy and Related Phenomena, 230, pp. 26 – 32. DOI: 10.1016/j.elspec.2018.11.001</w:t>
      </w:r>
    </w:p>
    <w:p w14:paraId="19FF80E7" w14:textId="77777777" w:rsidR="00C8799A" w:rsidRPr="00C8799A" w:rsidRDefault="00C8799A" w:rsidP="00C8799A">
      <w:pPr>
        <w:pStyle w:val="ListParagraph"/>
        <w:ind w:left="360"/>
        <w:rPr>
          <w:rFonts w:ascii="Times New Roman" w:eastAsia="SimSun" w:hAnsi="Times New Roman" w:cs="Times New Roman"/>
          <w:bCs/>
          <w:color w:val="000000"/>
          <w:sz w:val="20"/>
          <w:lang w:eastAsia="en-US"/>
        </w:rPr>
      </w:pPr>
    </w:p>
    <w:p w14:paraId="7A00CA7F" w14:textId="77777777" w:rsidR="00C8799A" w:rsidRP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roofErr w:type="spellStart"/>
      <w:r w:rsidRPr="00C8799A">
        <w:rPr>
          <w:rFonts w:ascii="Times New Roman" w:eastAsia="SimSun" w:hAnsi="Times New Roman" w:cs="Times New Roman"/>
          <w:bCs/>
          <w:color w:val="000000"/>
          <w:sz w:val="20"/>
          <w:lang w:eastAsia="en-US"/>
        </w:rPr>
        <w:t>Kjaergaard</w:t>
      </w:r>
      <w:proofErr w:type="spellEnd"/>
      <w:r w:rsidRPr="00C8799A">
        <w:rPr>
          <w:rFonts w:ascii="Times New Roman" w:eastAsia="SimSun" w:hAnsi="Times New Roman" w:cs="Times New Roman"/>
          <w:bCs/>
          <w:color w:val="000000"/>
          <w:sz w:val="20"/>
          <w:lang w:eastAsia="en-US"/>
        </w:rPr>
        <w:t xml:space="preserve"> M., Schwartz M. E., Braumüller J., Krantz P., Wang J. I. -J., Gustavsson S., Oliver W.D., Superconducting Qubits: Current State of Play, (2020) Annual Review of Condensed Matter Physics, 11, pp. 369 – 395. DOI: 10.1146/annurev-conmatphys-031119-050605</w:t>
      </w:r>
    </w:p>
    <w:p w14:paraId="0B656D44" w14:textId="77777777" w:rsidR="00C8799A" w:rsidRPr="00C8799A" w:rsidRDefault="00C8799A" w:rsidP="00C8799A">
      <w:pPr>
        <w:pStyle w:val="ListParagraph"/>
        <w:ind w:left="360"/>
        <w:rPr>
          <w:rFonts w:ascii="Times New Roman" w:eastAsia="SimSun" w:hAnsi="Times New Roman" w:cs="Times New Roman"/>
          <w:bCs/>
          <w:color w:val="000000"/>
          <w:sz w:val="20"/>
          <w:lang w:eastAsia="en-US"/>
        </w:rPr>
      </w:pPr>
    </w:p>
    <w:p w14:paraId="4D1D783C" w14:textId="77777777" w:rsidR="00C8799A" w:rsidRDefault="00C8799A" w:rsidP="00C8799A">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lang w:eastAsia="en-US"/>
        </w:rPr>
        <w:t>Bruzewicz C. D., Chiaverini J., McConnell R., Sage J. M., Trapped-ion quantum computing: Progress and challenges, (2019) Applied Physics Reviews, 6 (2), art. no. 021314. DOI: 10.1063/1.5088164</w:t>
      </w:r>
    </w:p>
    <w:p w14:paraId="7E9A67EA" w14:textId="77777777" w:rsidR="00C8799A" w:rsidRPr="00C8799A" w:rsidRDefault="00C8799A" w:rsidP="00C8799A">
      <w:pPr>
        <w:pStyle w:val="ListParagraph"/>
        <w:ind w:left="360"/>
        <w:rPr>
          <w:rFonts w:eastAsia="SimSun"/>
          <w:bCs/>
          <w:color w:val="000000"/>
        </w:rPr>
      </w:pPr>
    </w:p>
    <w:p w14:paraId="04917F36" w14:textId="77777777" w:rsidR="008A2136" w:rsidRPr="008A2136" w:rsidRDefault="00C8799A" w:rsidP="008A2136">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C8799A">
        <w:rPr>
          <w:rFonts w:ascii="Times New Roman" w:eastAsia="SimSun" w:hAnsi="Times New Roman" w:cs="Times New Roman"/>
          <w:bCs/>
          <w:color w:val="000000"/>
          <w:sz w:val="20"/>
          <w:szCs w:val="20"/>
        </w:rPr>
        <w:t>Chaudhuri S., Two-electron quantum dot in a magnetic field: Analytic solution for finite potential model, (2021) Physica E: Low-Dimensional Systems and Nanostructures, 128, art. no. 114571. DOI: 10.1016/j.physe.2020.114571</w:t>
      </w:r>
    </w:p>
    <w:p w14:paraId="5CC9F031" w14:textId="77777777" w:rsidR="008A2136" w:rsidRPr="008A2136" w:rsidRDefault="008A2136" w:rsidP="008A2136">
      <w:pPr>
        <w:pStyle w:val="ListParagraph"/>
        <w:rPr>
          <w:rFonts w:eastAsia="SimSun"/>
          <w:bCs/>
          <w:color w:val="000000"/>
        </w:rPr>
      </w:pPr>
    </w:p>
    <w:p w14:paraId="4A105CC5" w14:textId="77777777" w:rsidR="00661AC2" w:rsidRPr="008A2136" w:rsidRDefault="003D641F" w:rsidP="008A2136">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sidRPr="003D641F">
        <w:rPr>
          <w:rFonts w:ascii="Times New Roman" w:eastAsia="SimSun" w:hAnsi="Times New Roman" w:cs="Times New Roman"/>
          <w:bCs/>
          <w:color w:val="000000"/>
          <w:sz w:val="20"/>
          <w:szCs w:val="20"/>
        </w:rPr>
        <w:t>Burkard G., Ladd T. D., Pan A., Nichol J. M., Petta J. R., Semiconductor spin qubits, (2023) Reviews of Modern Physics, 95, art. no. 025003. DOI: 10.1103/RevModPhys.95.025003</w:t>
      </w:r>
    </w:p>
    <w:p w14:paraId="70C3CAA7" w14:textId="77777777" w:rsidR="00966D66" w:rsidRDefault="00966D66">
      <w:pPr>
        <w:pStyle w:val="ListParagraph"/>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
    <w:p w14:paraId="224267C0" w14:textId="77777777" w:rsidR="00966D66" w:rsidRDefault="00000000">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Pr>
          <w:rFonts w:ascii="Times New Roman" w:eastAsia="SimSun" w:hAnsi="Times New Roman" w:cs="Times New Roman"/>
          <w:bCs/>
          <w:color w:val="000000"/>
          <w:sz w:val="20"/>
          <w:szCs w:val="20"/>
        </w:rPr>
        <w:t xml:space="preserve">Wu X., Ward D. R., Prance J. R., Kim D., Gamble J. K., Mohr R. T., Shi Z., Savage D. E., </w:t>
      </w:r>
      <w:proofErr w:type="spellStart"/>
      <w:r>
        <w:rPr>
          <w:rFonts w:ascii="Times New Roman" w:eastAsia="SimSun" w:hAnsi="Times New Roman" w:cs="Times New Roman"/>
          <w:bCs/>
          <w:color w:val="000000"/>
          <w:sz w:val="20"/>
          <w:szCs w:val="20"/>
        </w:rPr>
        <w:t>Lagally</w:t>
      </w:r>
      <w:proofErr w:type="spellEnd"/>
      <w:r>
        <w:rPr>
          <w:rFonts w:ascii="Times New Roman" w:eastAsia="SimSun" w:hAnsi="Times New Roman" w:cs="Times New Roman"/>
          <w:bCs/>
          <w:color w:val="000000"/>
          <w:sz w:val="20"/>
          <w:szCs w:val="20"/>
        </w:rPr>
        <w:t xml:space="preserve"> M. G., Friesen M., Coppersmith S. N., Eriksson M. A., Two-axis control of a singlet-triplet qubit with an integrated micromagnet, (2014) Proceedings of the National Academy of Sciences, 111 (33), pp. 11938 - 11942. DOI: 10.1073/pnas.1412230111</w:t>
      </w:r>
    </w:p>
    <w:p w14:paraId="6892E69F" w14:textId="77777777" w:rsidR="00966D66" w:rsidRDefault="00966D66">
      <w:pPr>
        <w:pStyle w:val="ListParagraph"/>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
    <w:p w14:paraId="66A6529A" w14:textId="77777777" w:rsidR="00966D66" w:rsidRDefault="00000000">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roofErr w:type="spellStart"/>
      <w:r>
        <w:rPr>
          <w:rFonts w:ascii="Times New Roman" w:eastAsia="SimSun" w:hAnsi="Times New Roman" w:cs="Times New Roman"/>
          <w:bCs/>
          <w:color w:val="000000"/>
          <w:sz w:val="20"/>
          <w:szCs w:val="20"/>
        </w:rPr>
        <w:t>Foletti</w:t>
      </w:r>
      <w:proofErr w:type="spellEnd"/>
      <w:r>
        <w:rPr>
          <w:rFonts w:ascii="Times New Roman" w:eastAsia="SimSun" w:hAnsi="Times New Roman" w:cs="Times New Roman"/>
          <w:bCs/>
          <w:color w:val="000000"/>
          <w:sz w:val="20"/>
          <w:szCs w:val="20"/>
        </w:rPr>
        <w:t xml:space="preserve"> S., Bluhm H., </w:t>
      </w:r>
      <w:proofErr w:type="spellStart"/>
      <w:r>
        <w:rPr>
          <w:rFonts w:ascii="Times New Roman" w:eastAsia="SimSun" w:hAnsi="Times New Roman" w:cs="Times New Roman"/>
          <w:bCs/>
          <w:color w:val="000000"/>
          <w:sz w:val="20"/>
          <w:szCs w:val="20"/>
        </w:rPr>
        <w:t>Mahalu</w:t>
      </w:r>
      <w:proofErr w:type="spellEnd"/>
      <w:r>
        <w:rPr>
          <w:rFonts w:ascii="Times New Roman" w:eastAsia="SimSun" w:hAnsi="Times New Roman" w:cs="Times New Roman"/>
          <w:bCs/>
          <w:color w:val="000000"/>
          <w:sz w:val="20"/>
          <w:szCs w:val="20"/>
        </w:rPr>
        <w:t xml:space="preserve"> D., Umansky V., </w:t>
      </w:r>
      <w:proofErr w:type="spellStart"/>
      <w:r>
        <w:rPr>
          <w:rFonts w:ascii="Times New Roman" w:eastAsia="SimSun" w:hAnsi="Times New Roman" w:cs="Times New Roman"/>
          <w:bCs/>
          <w:color w:val="000000"/>
          <w:sz w:val="20"/>
          <w:szCs w:val="20"/>
        </w:rPr>
        <w:t>Yacoby</w:t>
      </w:r>
      <w:proofErr w:type="spellEnd"/>
      <w:r>
        <w:rPr>
          <w:rFonts w:ascii="Times New Roman" w:eastAsia="SimSun" w:hAnsi="Times New Roman" w:cs="Times New Roman"/>
          <w:bCs/>
          <w:color w:val="000000"/>
          <w:sz w:val="20"/>
          <w:szCs w:val="20"/>
        </w:rPr>
        <w:t xml:space="preserve"> A., Universal quantum control of two-electron spin quantum bits using dynamic nuclear polarization, (2009) Nature Physics, 5 (12), pp. 903 - 908. DOI: 10.1038/nphys1424</w:t>
      </w:r>
    </w:p>
    <w:p w14:paraId="15BBCCEB" w14:textId="77777777" w:rsidR="00966D66" w:rsidRDefault="00966D66">
      <w:pPr>
        <w:pStyle w:val="ListParagraph"/>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
    <w:p w14:paraId="60B10738" w14:textId="77777777" w:rsidR="00042F15" w:rsidRDefault="00000000">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Pr>
          <w:rFonts w:ascii="Times New Roman" w:eastAsia="SimSun" w:hAnsi="Times New Roman" w:cs="Times New Roman"/>
          <w:bCs/>
          <w:color w:val="FF0000"/>
          <w:sz w:val="20"/>
          <w:szCs w:val="20"/>
        </w:rPr>
        <w:t xml:space="preserve">Laird E. A., Petta J. R., Johnson A. C., Marcus C. M., </w:t>
      </w:r>
      <w:proofErr w:type="spellStart"/>
      <w:r>
        <w:rPr>
          <w:rFonts w:ascii="Times New Roman" w:eastAsia="SimSun" w:hAnsi="Times New Roman" w:cs="Times New Roman"/>
          <w:bCs/>
          <w:color w:val="FF0000"/>
          <w:sz w:val="20"/>
          <w:szCs w:val="20"/>
        </w:rPr>
        <w:t>Yacoby</w:t>
      </w:r>
      <w:proofErr w:type="spellEnd"/>
      <w:r>
        <w:rPr>
          <w:rFonts w:ascii="Times New Roman" w:eastAsia="SimSun" w:hAnsi="Times New Roman" w:cs="Times New Roman"/>
          <w:bCs/>
          <w:color w:val="FF0000"/>
          <w:sz w:val="20"/>
          <w:szCs w:val="20"/>
        </w:rPr>
        <w:t xml:space="preserve"> A., Hanson M. P., Gossard A. C., Effect of exchange interaction on spin dephasing in a double quantum dot, (2006) Physical Review Letters, 97, art. no. 056801. DOI: 10.1103/PhysRevLett.97.056801</w:t>
      </w:r>
    </w:p>
    <w:p w14:paraId="026EE3DC" w14:textId="77777777" w:rsidR="00966D66" w:rsidRDefault="00966D66">
      <w:pPr>
        <w:pStyle w:val="ListParagraph"/>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p>
    <w:p w14:paraId="732833B4" w14:textId="77777777" w:rsidR="00042F15" w:rsidRPr="00381D7E" w:rsidRDefault="00000000">
      <w:pPr>
        <w:pStyle w:val="ListParagraph"/>
        <w:numPr>
          <w:ilvl w:val="0"/>
          <w:numId w:val="10"/>
        </w:numPr>
        <w:tabs>
          <w:tab w:val="left" w:pos="4140"/>
          <w:tab w:val="left" w:pos="8910"/>
        </w:tabs>
        <w:spacing w:before="20" w:after="240" w:line="240" w:lineRule="auto"/>
        <w:ind w:left="360"/>
        <w:jc w:val="both"/>
        <w:rPr>
          <w:rFonts w:ascii="Times New Roman" w:eastAsia="SimSun" w:hAnsi="Times New Roman" w:cs="Times New Roman"/>
          <w:bCs/>
          <w:color w:val="000000"/>
          <w:sz w:val="20"/>
          <w:lang w:eastAsia="en-US"/>
        </w:rPr>
      </w:pPr>
      <w:r>
        <w:rPr>
          <w:rFonts w:ascii="Times New Roman" w:eastAsia="SimSun" w:hAnsi="Times New Roman" w:cs="Times New Roman"/>
          <w:bCs/>
          <w:color w:val="FF0000"/>
          <w:sz w:val="20"/>
          <w:szCs w:val="20"/>
        </w:rPr>
        <w:t xml:space="preserve">Maune B. M., </w:t>
      </w:r>
      <w:proofErr w:type="spellStart"/>
      <w:r>
        <w:rPr>
          <w:rFonts w:ascii="Times New Roman" w:eastAsia="SimSun" w:hAnsi="Times New Roman" w:cs="Times New Roman"/>
          <w:bCs/>
          <w:color w:val="FF0000"/>
          <w:sz w:val="20"/>
          <w:szCs w:val="20"/>
        </w:rPr>
        <w:t>Borselli</w:t>
      </w:r>
      <w:proofErr w:type="spellEnd"/>
      <w:r>
        <w:rPr>
          <w:rFonts w:ascii="Times New Roman" w:eastAsia="SimSun" w:hAnsi="Times New Roman" w:cs="Times New Roman"/>
          <w:bCs/>
          <w:color w:val="FF0000"/>
          <w:sz w:val="20"/>
          <w:szCs w:val="20"/>
        </w:rPr>
        <w:t xml:space="preserve"> M. G., Huang B., Ladd T. D., </w:t>
      </w:r>
      <w:proofErr w:type="spellStart"/>
      <w:r>
        <w:rPr>
          <w:rFonts w:ascii="Times New Roman" w:eastAsia="SimSun" w:hAnsi="Times New Roman" w:cs="Times New Roman"/>
          <w:bCs/>
          <w:color w:val="FF0000"/>
          <w:sz w:val="20"/>
          <w:szCs w:val="20"/>
        </w:rPr>
        <w:t>Deelman</w:t>
      </w:r>
      <w:proofErr w:type="spellEnd"/>
      <w:r>
        <w:rPr>
          <w:rFonts w:ascii="Times New Roman" w:eastAsia="SimSun" w:hAnsi="Times New Roman" w:cs="Times New Roman"/>
          <w:bCs/>
          <w:color w:val="FF0000"/>
          <w:sz w:val="20"/>
          <w:szCs w:val="20"/>
        </w:rPr>
        <w:t xml:space="preserve"> P. W., Holabird K. S., Kiselev A. A., Alvarado-Rodriguez I., Ross R. S., Schmitz A. E., Sokolich M., Watson C. A., Gyure M. F., Hunter A. T., Coherent singlet-triplet oscillations in a silicon-based double quantum dot, (2012) Nature, 481 (7381), pp. 344 – 347. DOI: 10.1038/nature10707</w:t>
      </w:r>
    </w:p>
    <w:p w14:paraId="16694222" w14:textId="77777777" w:rsidR="00381D7E" w:rsidRPr="00381D7E" w:rsidRDefault="00381D7E" w:rsidP="00381D7E">
      <w:pPr>
        <w:pStyle w:val="ListParagraph"/>
        <w:rPr>
          <w:rFonts w:ascii="Times New Roman" w:eastAsia="SimSun" w:hAnsi="Times New Roman" w:cs="Times New Roman"/>
          <w:bCs/>
          <w:color w:val="000000"/>
          <w:sz w:val="20"/>
          <w:lang w:eastAsia="en-US"/>
        </w:rPr>
      </w:pPr>
    </w:p>
    <w:p w14:paraId="238DEA7B" w14:textId="77777777" w:rsidR="00381D7E" w:rsidRDefault="00381D7E" w:rsidP="00381D7E">
      <w:pPr>
        <w:tabs>
          <w:tab w:val="left" w:pos="4140"/>
          <w:tab w:val="left" w:pos="8910"/>
        </w:tabs>
        <w:spacing w:before="20" w:after="240" w:line="240" w:lineRule="auto"/>
        <w:rPr>
          <w:rFonts w:eastAsia="SimSun"/>
          <w:bCs/>
          <w:color w:val="000000"/>
        </w:rPr>
      </w:pPr>
    </w:p>
    <w:p w14:paraId="5A17D06F" w14:textId="77777777" w:rsidR="00381D7E" w:rsidRDefault="00381D7E" w:rsidP="00381D7E">
      <w:pPr>
        <w:tabs>
          <w:tab w:val="left" w:pos="4140"/>
          <w:tab w:val="left" w:pos="8910"/>
        </w:tabs>
        <w:spacing w:before="20" w:after="240" w:line="240" w:lineRule="auto"/>
        <w:rPr>
          <w:rFonts w:eastAsia="SimSun"/>
          <w:bCs/>
          <w:color w:val="000000"/>
        </w:rPr>
      </w:pPr>
    </w:p>
    <w:p w14:paraId="5650FA7B" w14:textId="77777777" w:rsidR="00381D7E" w:rsidRDefault="00381D7E" w:rsidP="00381D7E">
      <w:pPr>
        <w:tabs>
          <w:tab w:val="left" w:pos="4140"/>
          <w:tab w:val="left" w:pos="8910"/>
        </w:tabs>
        <w:spacing w:before="20" w:after="240" w:line="240" w:lineRule="auto"/>
        <w:rPr>
          <w:rFonts w:eastAsia="SimSun"/>
          <w:bCs/>
          <w:color w:val="000000"/>
        </w:rPr>
      </w:pPr>
    </w:p>
    <w:p w14:paraId="2FEC85FD" w14:textId="77777777" w:rsidR="00381D7E" w:rsidRDefault="00381D7E" w:rsidP="00381D7E">
      <w:pPr>
        <w:tabs>
          <w:tab w:val="left" w:pos="4140"/>
          <w:tab w:val="left" w:pos="8910"/>
        </w:tabs>
        <w:spacing w:before="20" w:after="240" w:line="240" w:lineRule="auto"/>
        <w:rPr>
          <w:rFonts w:eastAsia="SimSun"/>
          <w:bCs/>
          <w:color w:val="000000"/>
        </w:rPr>
      </w:pPr>
    </w:p>
    <w:p w14:paraId="7DEAED02" w14:textId="77777777" w:rsidR="00381D7E" w:rsidRDefault="00381D7E" w:rsidP="00381D7E">
      <w:pPr>
        <w:tabs>
          <w:tab w:val="left" w:pos="4140"/>
          <w:tab w:val="left" w:pos="8910"/>
        </w:tabs>
        <w:spacing w:before="20" w:after="240" w:line="240" w:lineRule="auto"/>
        <w:rPr>
          <w:rFonts w:eastAsia="SimSun"/>
          <w:bCs/>
          <w:color w:val="000000"/>
        </w:rPr>
      </w:pPr>
    </w:p>
    <w:p w14:paraId="076A07DA" w14:textId="77777777" w:rsidR="00381D7E" w:rsidRDefault="00381D7E" w:rsidP="00381D7E">
      <w:pPr>
        <w:tabs>
          <w:tab w:val="left" w:pos="4140"/>
          <w:tab w:val="left" w:pos="8910"/>
        </w:tabs>
        <w:spacing w:before="20" w:after="240" w:line="240" w:lineRule="auto"/>
        <w:rPr>
          <w:rFonts w:eastAsia="SimSun"/>
          <w:bCs/>
          <w:color w:val="000000"/>
        </w:rPr>
      </w:pPr>
    </w:p>
    <w:p w14:paraId="0AB8095F" w14:textId="77777777" w:rsidR="00381D7E" w:rsidRDefault="00381D7E" w:rsidP="00381D7E">
      <w:pPr>
        <w:tabs>
          <w:tab w:val="left" w:pos="4140"/>
          <w:tab w:val="left" w:pos="8910"/>
        </w:tabs>
        <w:spacing w:before="20" w:after="240" w:line="240" w:lineRule="auto"/>
        <w:rPr>
          <w:rFonts w:eastAsia="SimSun"/>
          <w:bCs/>
          <w:color w:val="000000"/>
        </w:rPr>
      </w:pPr>
    </w:p>
    <w:p w14:paraId="76C71AFB" w14:textId="77777777" w:rsidR="00381D7E" w:rsidRDefault="00381D7E" w:rsidP="00381D7E">
      <w:pPr>
        <w:tabs>
          <w:tab w:val="left" w:pos="4140"/>
          <w:tab w:val="left" w:pos="8910"/>
        </w:tabs>
        <w:spacing w:before="20" w:after="240" w:line="240" w:lineRule="auto"/>
        <w:rPr>
          <w:rFonts w:eastAsia="SimSun"/>
          <w:bCs/>
          <w:color w:val="000000"/>
        </w:rPr>
      </w:pPr>
    </w:p>
    <w:p w14:paraId="23F395ED" w14:textId="77777777" w:rsidR="00381D7E" w:rsidRDefault="00381D7E" w:rsidP="00381D7E">
      <w:pPr>
        <w:tabs>
          <w:tab w:val="left" w:pos="4140"/>
          <w:tab w:val="left" w:pos="8910"/>
        </w:tabs>
        <w:spacing w:before="20" w:after="240" w:line="240" w:lineRule="auto"/>
        <w:rPr>
          <w:rFonts w:eastAsia="SimSun"/>
          <w:bCs/>
          <w:color w:val="000000"/>
        </w:rPr>
      </w:pPr>
    </w:p>
    <w:p w14:paraId="61D4C5C0" w14:textId="77777777" w:rsidR="00381D7E" w:rsidRDefault="00381D7E" w:rsidP="00381D7E">
      <w:pPr>
        <w:tabs>
          <w:tab w:val="left" w:pos="4140"/>
          <w:tab w:val="left" w:pos="8910"/>
        </w:tabs>
        <w:spacing w:before="20" w:after="240" w:line="240" w:lineRule="auto"/>
        <w:ind w:firstLine="0"/>
        <w:rPr>
          <w:rFonts w:eastAsia="SimSun"/>
          <w:bCs/>
          <w:color w:val="000000"/>
        </w:rPr>
      </w:pPr>
    </w:p>
    <w:p w14:paraId="075EC267" w14:textId="77777777" w:rsidR="00381D7E" w:rsidRDefault="00381D7E" w:rsidP="00381D7E">
      <w:pPr>
        <w:tabs>
          <w:tab w:val="left" w:pos="4140"/>
          <w:tab w:val="left" w:pos="8910"/>
        </w:tabs>
        <w:spacing w:before="20" w:after="240" w:line="240" w:lineRule="auto"/>
        <w:rPr>
          <w:rFonts w:eastAsia="SimSun"/>
          <w:bCs/>
          <w:color w:val="000000"/>
        </w:rPr>
      </w:pPr>
    </w:p>
    <w:p w14:paraId="1D6476C1" w14:textId="77777777" w:rsidR="00381D7E" w:rsidRDefault="00381D7E" w:rsidP="00381D7E">
      <w:pPr>
        <w:tabs>
          <w:tab w:val="left" w:pos="4140"/>
          <w:tab w:val="left" w:pos="8910"/>
        </w:tabs>
        <w:spacing w:before="20" w:after="240" w:line="240" w:lineRule="auto"/>
        <w:rPr>
          <w:rFonts w:eastAsia="SimSun"/>
          <w:bCs/>
          <w:color w:val="000000"/>
        </w:rPr>
      </w:pPr>
    </w:p>
    <w:p w14:paraId="72F717B4" w14:textId="77777777" w:rsidR="00381D7E" w:rsidRDefault="00381D7E" w:rsidP="00381D7E">
      <w:pPr>
        <w:tabs>
          <w:tab w:val="left" w:pos="4140"/>
          <w:tab w:val="left" w:pos="8910"/>
        </w:tabs>
        <w:spacing w:before="20" w:after="240" w:line="240" w:lineRule="auto"/>
        <w:rPr>
          <w:rFonts w:eastAsia="SimSun"/>
          <w:bCs/>
          <w:color w:val="000000"/>
        </w:rPr>
      </w:pPr>
    </w:p>
    <w:p w14:paraId="3C316FDE" w14:textId="77777777" w:rsidR="00381D7E" w:rsidRDefault="00381D7E" w:rsidP="00381D7E">
      <w:pPr>
        <w:tabs>
          <w:tab w:val="left" w:pos="4140"/>
          <w:tab w:val="left" w:pos="8910"/>
        </w:tabs>
        <w:spacing w:before="20" w:after="240" w:line="240" w:lineRule="auto"/>
        <w:rPr>
          <w:rFonts w:eastAsia="SimSun"/>
          <w:bCs/>
          <w:color w:val="000000"/>
        </w:rPr>
      </w:pPr>
    </w:p>
    <w:p w14:paraId="639C56A9" w14:textId="77777777" w:rsidR="00381D7E" w:rsidRPr="00381D7E" w:rsidRDefault="00381D7E" w:rsidP="00381D7E">
      <w:pPr>
        <w:tabs>
          <w:tab w:val="left" w:pos="4140"/>
          <w:tab w:val="left" w:pos="8910"/>
        </w:tabs>
        <w:spacing w:before="20" w:after="240" w:line="240" w:lineRule="auto"/>
        <w:rPr>
          <w:rFonts w:eastAsia="SimSun"/>
          <w:bCs/>
          <w:color w:val="000000"/>
        </w:rPr>
      </w:pPr>
    </w:p>
    <w:sectPr w:rsidR="00381D7E" w:rsidRPr="00381D7E" w:rsidSect="000A3D23">
      <w:headerReference w:type="even" r:id="rId183"/>
      <w:headerReference w:type="default" r:id="rId184"/>
      <w:pgSz w:w="11906" w:h="16838" w:code="9"/>
      <w:pgMar w:top="2948" w:right="2494" w:bottom="2948" w:left="2494" w:header="2381" w:footer="2324" w:gutter="0"/>
      <w:cols w:space="227"/>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E0F8A" w14:textId="77777777" w:rsidR="00C139DB" w:rsidRDefault="00C139DB">
      <w:r>
        <w:separator/>
      </w:r>
    </w:p>
  </w:endnote>
  <w:endnote w:type="continuationSeparator" w:id="0">
    <w:p w14:paraId="7307BB39" w14:textId="77777777" w:rsidR="00C139DB" w:rsidRDefault="00C13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37CC3" w14:textId="77777777" w:rsidR="00C139DB" w:rsidRDefault="00C139DB" w:rsidP="009F7FCE">
      <w:pPr>
        <w:ind w:firstLine="0"/>
      </w:pPr>
      <w:r>
        <w:separator/>
      </w:r>
    </w:p>
  </w:footnote>
  <w:footnote w:type="continuationSeparator" w:id="0">
    <w:p w14:paraId="1FD94429" w14:textId="77777777" w:rsidR="00C139DB" w:rsidRDefault="00C139DB"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82581" w14:textId="77777777" w:rsidR="009B2539" w:rsidRDefault="009B2539" w:rsidP="00F321B4">
    <w:pPr>
      <w:pStyle w:val="Header"/>
    </w:pPr>
    <w:r>
      <w:fldChar w:fldCharType="begin"/>
    </w:r>
    <w:r>
      <w:instrText>PAGE   \* MERGEFORMAT</w:instrText>
    </w:r>
    <w:r>
      <w:fldChar w:fldCharType="separate"/>
    </w:r>
    <w:r w:rsidR="00DC2CA9">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658A" w14:textId="77777777" w:rsidR="002D48C5" w:rsidRDefault="002D48C5" w:rsidP="002D48C5">
    <w:pPr>
      <w:pStyle w:val="Header"/>
      <w:jc w:val="right"/>
    </w:pPr>
    <w:r>
      <w:fldChar w:fldCharType="begin"/>
    </w:r>
    <w:r>
      <w:instrText>PAGE   \* MERGEFORMAT</w:instrText>
    </w:r>
    <w:r>
      <w:fldChar w:fldCharType="separate"/>
    </w:r>
    <w:r w:rsidR="001A02F0">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3FAF50C1"/>
    <w:multiLevelType w:val="hybridMultilevel"/>
    <w:tmpl w:val="6EBEE15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1695229277">
    <w:abstractNumId w:val="0"/>
  </w:num>
  <w:num w:numId="2" w16cid:durableId="889419192">
    <w:abstractNumId w:val="0"/>
  </w:num>
  <w:num w:numId="3" w16cid:durableId="1137800867">
    <w:abstractNumId w:val="2"/>
  </w:num>
  <w:num w:numId="4" w16cid:durableId="506410062">
    <w:abstractNumId w:val="2"/>
  </w:num>
  <w:num w:numId="5" w16cid:durableId="829364593">
    <w:abstractNumId w:val="4"/>
  </w:num>
  <w:num w:numId="6" w16cid:durableId="538519297">
    <w:abstractNumId w:val="4"/>
  </w:num>
  <w:num w:numId="7" w16cid:durableId="441655354">
    <w:abstractNumId w:val="3"/>
  </w:num>
  <w:num w:numId="8" w16cid:durableId="1987123750">
    <w:abstractNumId w:val="5"/>
  </w:num>
  <w:num w:numId="9" w16cid:durableId="1662082789">
    <w:abstractNumId w:val="5"/>
    <w:lvlOverride w:ilvl="0">
      <w:lvl w:ilvl="0">
        <w:start w:val="1"/>
        <w:numFmt w:val="decimal"/>
        <w:pStyle w:val="referenceitem"/>
        <w:lvlText w:val="%1."/>
        <w:lvlJc w:val="right"/>
        <w:pPr>
          <w:tabs>
            <w:tab w:val="num" w:pos="341"/>
          </w:tabs>
          <w:ind w:left="341" w:hanging="114"/>
        </w:pPr>
        <w:rPr>
          <w:rFonts w:hint="default"/>
        </w:rPr>
      </w:lvl>
    </w:lvlOverride>
  </w:num>
  <w:num w:numId="10" w16cid:durableId="104144319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QyszC2sDCxNDO1sLBU0lEKTi0uzszPAykwrQUAnRiOyCwAAAA="/>
  </w:docVars>
  <w:rsids>
    <w:rsidRoot w:val="009F7FCE"/>
    <w:rsid w:val="0001398D"/>
    <w:rsid w:val="00017A79"/>
    <w:rsid w:val="00042F15"/>
    <w:rsid w:val="000871FC"/>
    <w:rsid w:val="00092BF6"/>
    <w:rsid w:val="000A3D23"/>
    <w:rsid w:val="000B755D"/>
    <w:rsid w:val="000B770A"/>
    <w:rsid w:val="000D2911"/>
    <w:rsid w:val="000D6750"/>
    <w:rsid w:val="000F054F"/>
    <w:rsid w:val="00104800"/>
    <w:rsid w:val="001061D4"/>
    <w:rsid w:val="001350CC"/>
    <w:rsid w:val="001401CF"/>
    <w:rsid w:val="0015619A"/>
    <w:rsid w:val="001656DD"/>
    <w:rsid w:val="00180624"/>
    <w:rsid w:val="001816C7"/>
    <w:rsid w:val="00181E78"/>
    <w:rsid w:val="00181F47"/>
    <w:rsid w:val="001A02F0"/>
    <w:rsid w:val="001B5D52"/>
    <w:rsid w:val="001B7B3D"/>
    <w:rsid w:val="001D39AC"/>
    <w:rsid w:val="00231B3F"/>
    <w:rsid w:val="00234B2C"/>
    <w:rsid w:val="00234D12"/>
    <w:rsid w:val="002826E2"/>
    <w:rsid w:val="002923DD"/>
    <w:rsid w:val="002979B7"/>
    <w:rsid w:val="002A039D"/>
    <w:rsid w:val="002B23B6"/>
    <w:rsid w:val="002B6D7F"/>
    <w:rsid w:val="002C07B0"/>
    <w:rsid w:val="002D48C5"/>
    <w:rsid w:val="002F7A28"/>
    <w:rsid w:val="00304F21"/>
    <w:rsid w:val="003167E2"/>
    <w:rsid w:val="00335C3C"/>
    <w:rsid w:val="003556FF"/>
    <w:rsid w:val="00370202"/>
    <w:rsid w:val="00370516"/>
    <w:rsid w:val="0037215E"/>
    <w:rsid w:val="00381D7E"/>
    <w:rsid w:val="003849AC"/>
    <w:rsid w:val="003851C5"/>
    <w:rsid w:val="0039385E"/>
    <w:rsid w:val="00396410"/>
    <w:rsid w:val="003A7F4B"/>
    <w:rsid w:val="003B3867"/>
    <w:rsid w:val="003C0923"/>
    <w:rsid w:val="003C1406"/>
    <w:rsid w:val="003D4AA9"/>
    <w:rsid w:val="003D641F"/>
    <w:rsid w:val="003F51DC"/>
    <w:rsid w:val="00401A40"/>
    <w:rsid w:val="0041127D"/>
    <w:rsid w:val="00415619"/>
    <w:rsid w:val="004501DD"/>
    <w:rsid w:val="00450B2F"/>
    <w:rsid w:val="004741B0"/>
    <w:rsid w:val="00474EB3"/>
    <w:rsid w:val="00481057"/>
    <w:rsid w:val="00495200"/>
    <w:rsid w:val="0049750A"/>
    <w:rsid w:val="004B44A5"/>
    <w:rsid w:val="004C764E"/>
    <w:rsid w:val="004F16CE"/>
    <w:rsid w:val="00501694"/>
    <w:rsid w:val="00503616"/>
    <w:rsid w:val="00505DA0"/>
    <w:rsid w:val="005167A8"/>
    <w:rsid w:val="00533387"/>
    <w:rsid w:val="00550CE1"/>
    <w:rsid w:val="00552271"/>
    <w:rsid w:val="00557F4C"/>
    <w:rsid w:val="00577A84"/>
    <w:rsid w:val="005908A9"/>
    <w:rsid w:val="005C3BB3"/>
    <w:rsid w:val="005C468D"/>
    <w:rsid w:val="005E2D0C"/>
    <w:rsid w:val="005F0416"/>
    <w:rsid w:val="00621412"/>
    <w:rsid w:val="006423E3"/>
    <w:rsid w:val="00642948"/>
    <w:rsid w:val="00647F69"/>
    <w:rsid w:val="00656347"/>
    <w:rsid w:val="0066176C"/>
    <w:rsid w:val="00661AC2"/>
    <w:rsid w:val="0067238E"/>
    <w:rsid w:val="00673C51"/>
    <w:rsid w:val="006878EA"/>
    <w:rsid w:val="006A4708"/>
    <w:rsid w:val="006A5DAC"/>
    <w:rsid w:val="006D77B8"/>
    <w:rsid w:val="006E64E2"/>
    <w:rsid w:val="006F31C3"/>
    <w:rsid w:val="006F5D4B"/>
    <w:rsid w:val="006F7BA0"/>
    <w:rsid w:val="007003CF"/>
    <w:rsid w:val="00703D46"/>
    <w:rsid w:val="00725495"/>
    <w:rsid w:val="00731F97"/>
    <w:rsid w:val="007323FB"/>
    <w:rsid w:val="00752B1F"/>
    <w:rsid w:val="00764DB5"/>
    <w:rsid w:val="00773D8F"/>
    <w:rsid w:val="00790360"/>
    <w:rsid w:val="00794205"/>
    <w:rsid w:val="007B3119"/>
    <w:rsid w:val="007C5202"/>
    <w:rsid w:val="007D284F"/>
    <w:rsid w:val="007E2C59"/>
    <w:rsid w:val="007E4765"/>
    <w:rsid w:val="007F6530"/>
    <w:rsid w:val="00803F4E"/>
    <w:rsid w:val="00810204"/>
    <w:rsid w:val="008151EA"/>
    <w:rsid w:val="00834974"/>
    <w:rsid w:val="008666F2"/>
    <w:rsid w:val="008767E9"/>
    <w:rsid w:val="00885872"/>
    <w:rsid w:val="008A07D8"/>
    <w:rsid w:val="008A2136"/>
    <w:rsid w:val="008A269B"/>
    <w:rsid w:val="008A30A9"/>
    <w:rsid w:val="008A3E0B"/>
    <w:rsid w:val="008B72D8"/>
    <w:rsid w:val="008C0012"/>
    <w:rsid w:val="008D33E5"/>
    <w:rsid w:val="008D4AC1"/>
    <w:rsid w:val="008D584C"/>
    <w:rsid w:val="008F2D4C"/>
    <w:rsid w:val="008F711B"/>
    <w:rsid w:val="00917033"/>
    <w:rsid w:val="00927E7D"/>
    <w:rsid w:val="00964C07"/>
    <w:rsid w:val="00966D66"/>
    <w:rsid w:val="009720D3"/>
    <w:rsid w:val="009737A1"/>
    <w:rsid w:val="009930E4"/>
    <w:rsid w:val="00995CEA"/>
    <w:rsid w:val="009A71C9"/>
    <w:rsid w:val="009B2539"/>
    <w:rsid w:val="009D4110"/>
    <w:rsid w:val="009D52DC"/>
    <w:rsid w:val="009E041C"/>
    <w:rsid w:val="009E2DAE"/>
    <w:rsid w:val="009E549E"/>
    <w:rsid w:val="009F36CD"/>
    <w:rsid w:val="009F4BAE"/>
    <w:rsid w:val="009F7FCE"/>
    <w:rsid w:val="00A2065C"/>
    <w:rsid w:val="00A20C1D"/>
    <w:rsid w:val="00A22DE7"/>
    <w:rsid w:val="00A25D59"/>
    <w:rsid w:val="00A33D86"/>
    <w:rsid w:val="00A34628"/>
    <w:rsid w:val="00A47B1C"/>
    <w:rsid w:val="00A63A77"/>
    <w:rsid w:val="00A671E0"/>
    <w:rsid w:val="00A76E46"/>
    <w:rsid w:val="00A81C07"/>
    <w:rsid w:val="00A84351"/>
    <w:rsid w:val="00A963ED"/>
    <w:rsid w:val="00AA01DF"/>
    <w:rsid w:val="00AA065D"/>
    <w:rsid w:val="00AA1421"/>
    <w:rsid w:val="00AA7508"/>
    <w:rsid w:val="00AB1453"/>
    <w:rsid w:val="00AC06BA"/>
    <w:rsid w:val="00AD3027"/>
    <w:rsid w:val="00AD6A29"/>
    <w:rsid w:val="00AE1D6E"/>
    <w:rsid w:val="00AF6861"/>
    <w:rsid w:val="00AF7CBF"/>
    <w:rsid w:val="00B024E1"/>
    <w:rsid w:val="00B2195B"/>
    <w:rsid w:val="00B23481"/>
    <w:rsid w:val="00B27F21"/>
    <w:rsid w:val="00B40368"/>
    <w:rsid w:val="00B40E26"/>
    <w:rsid w:val="00B54073"/>
    <w:rsid w:val="00B57328"/>
    <w:rsid w:val="00B74E61"/>
    <w:rsid w:val="00B87C73"/>
    <w:rsid w:val="00BA627A"/>
    <w:rsid w:val="00BA6FC1"/>
    <w:rsid w:val="00BB09DF"/>
    <w:rsid w:val="00BB4713"/>
    <w:rsid w:val="00BB5277"/>
    <w:rsid w:val="00BD2C54"/>
    <w:rsid w:val="00BD402C"/>
    <w:rsid w:val="00BD463C"/>
    <w:rsid w:val="00BD5806"/>
    <w:rsid w:val="00BE618C"/>
    <w:rsid w:val="00BF3D42"/>
    <w:rsid w:val="00C11B4E"/>
    <w:rsid w:val="00C139DB"/>
    <w:rsid w:val="00C1731A"/>
    <w:rsid w:val="00C210F9"/>
    <w:rsid w:val="00C6610C"/>
    <w:rsid w:val="00C8799A"/>
    <w:rsid w:val="00C94645"/>
    <w:rsid w:val="00CB2F6D"/>
    <w:rsid w:val="00CB48FD"/>
    <w:rsid w:val="00CE4E65"/>
    <w:rsid w:val="00CE6241"/>
    <w:rsid w:val="00CF11AE"/>
    <w:rsid w:val="00CF5E64"/>
    <w:rsid w:val="00D1017A"/>
    <w:rsid w:val="00D2092C"/>
    <w:rsid w:val="00D24448"/>
    <w:rsid w:val="00D27BE5"/>
    <w:rsid w:val="00D46148"/>
    <w:rsid w:val="00D504D9"/>
    <w:rsid w:val="00D6741C"/>
    <w:rsid w:val="00D80EC2"/>
    <w:rsid w:val="00D928D7"/>
    <w:rsid w:val="00D929DE"/>
    <w:rsid w:val="00DB255F"/>
    <w:rsid w:val="00DB690D"/>
    <w:rsid w:val="00DC2CA9"/>
    <w:rsid w:val="00DD0499"/>
    <w:rsid w:val="00DD32A4"/>
    <w:rsid w:val="00E13FC1"/>
    <w:rsid w:val="00E169A8"/>
    <w:rsid w:val="00E25F62"/>
    <w:rsid w:val="00E27853"/>
    <w:rsid w:val="00E40A24"/>
    <w:rsid w:val="00E46ED5"/>
    <w:rsid w:val="00E55811"/>
    <w:rsid w:val="00E57D7B"/>
    <w:rsid w:val="00E603C7"/>
    <w:rsid w:val="00E64E03"/>
    <w:rsid w:val="00E814E1"/>
    <w:rsid w:val="00E97082"/>
    <w:rsid w:val="00EA5780"/>
    <w:rsid w:val="00EB64E5"/>
    <w:rsid w:val="00EC2EE5"/>
    <w:rsid w:val="00ED1BF8"/>
    <w:rsid w:val="00EE5C0E"/>
    <w:rsid w:val="00EE7652"/>
    <w:rsid w:val="00EF0F3C"/>
    <w:rsid w:val="00F02662"/>
    <w:rsid w:val="00F02FEC"/>
    <w:rsid w:val="00F115E6"/>
    <w:rsid w:val="00F12049"/>
    <w:rsid w:val="00F21E21"/>
    <w:rsid w:val="00F321B4"/>
    <w:rsid w:val="00F404D3"/>
    <w:rsid w:val="00F40F2E"/>
    <w:rsid w:val="00F45479"/>
    <w:rsid w:val="00F46549"/>
    <w:rsid w:val="00F528A7"/>
    <w:rsid w:val="00F623C8"/>
    <w:rsid w:val="00F625B0"/>
    <w:rsid w:val="00F6401A"/>
    <w:rsid w:val="00F646D8"/>
    <w:rsid w:val="00F651C2"/>
    <w:rsid w:val="00F70216"/>
    <w:rsid w:val="00F73B78"/>
    <w:rsid w:val="00F87F58"/>
    <w:rsid w:val="00F90917"/>
    <w:rsid w:val="00F95458"/>
    <w:rsid w:val="00FA3D10"/>
    <w:rsid w:val="00FC5040"/>
    <w:rsid w:val="00FC6D3B"/>
    <w:rsid w:val="00FE03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48DFC9"/>
  <w15:docId w15:val="{7C6FEB41-75B9-4F25-B2AA-5E3B80F97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6241"/>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character" w:styleId="UnresolvedMention">
    <w:name w:val="Unresolved Mention"/>
    <w:basedOn w:val="DefaultParagraphFont"/>
    <w:uiPriority w:val="99"/>
    <w:semiHidden/>
    <w:unhideWhenUsed/>
    <w:rsid w:val="0037215E"/>
    <w:rPr>
      <w:color w:val="605E5C"/>
      <w:shd w:val="clear" w:color="auto" w:fill="E1DFDD"/>
    </w:rPr>
  </w:style>
  <w:style w:type="table" w:styleId="TableGrid">
    <w:name w:val="Table Grid"/>
    <w:basedOn w:val="TableNormal"/>
    <w:rsid w:val="00E558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semiHidden/>
    <w:rsid w:val="00E55811"/>
    <w:rPr>
      <w:color w:val="666666"/>
    </w:rPr>
  </w:style>
  <w:style w:type="paragraph" w:styleId="ListParagraph">
    <w:name w:val="List Paragraph"/>
    <w:basedOn w:val="Normal"/>
    <w:uiPriority w:val="34"/>
    <w:qFormat/>
    <w:rsid w:val="00C8799A"/>
    <w:pPr>
      <w:overflowPunct/>
      <w:autoSpaceDE/>
      <w:autoSpaceDN/>
      <w:adjustRightInd/>
      <w:spacing w:after="160" w:line="259" w:lineRule="auto"/>
      <w:ind w:left="720" w:firstLine="0"/>
      <w:contextualSpacing/>
      <w:jc w:val="left"/>
      <w:textAlignment w:val="auto"/>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image" Target="media/image4.wmf"/><Relationship Id="rId42" Type="http://schemas.openxmlformats.org/officeDocument/2006/relationships/oleObject" Target="embeddings/oleObject19.bin"/><Relationship Id="rId63" Type="http://schemas.openxmlformats.org/officeDocument/2006/relationships/image" Target="media/image25.wmf"/><Relationship Id="rId84" Type="http://schemas.openxmlformats.org/officeDocument/2006/relationships/oleObject" Target="embeddings/oleObject40.bin"/><Relationship Id="rId138" Type="http://schemas.openxmlformats.org/officeDocument/2006/relationships/oleObject" Target="embeddings/oleObject67.bin"/><Relationship Id="rId159" Type="http://schemas.openxmlformats.org/officeDocument/2006/relationships/image" Target="media/image73.wmf"/><Relationship Id="rId170" Type="http://schemas.openxmlformats.org/officeDocument/2006/relationships/oleObject" Target="embeddings/oleObject83.bin"/><Relationship Id="rId107" Type="http://schemas.openxmlformats.org/officeDocument/2006/relationships/image" Target="media/image47.wmf"/><Relationship Id="rId11" Type="http://schemas.openxmlformats.org/officeDocument/2006/relationships/oleObject" Target="embeddings/oleObject1.bin"/><Relationship Id="rId32" Type="http://schemas.openxmlformats.org/officeDocument/2006/relationships/oleObject" Target="embeddings/oleObject14.bin"/><Relationship Id="rId53" Type="http://schemas.openxmlformats.org/officeDocument/2006/relationships/image" Target="media/image20.wmf"/><Relationship Id="rId74" Type="http://schemas.openxmlformats.org/officeDocument/2006/relationships/oleObject" Target="embeddings/oleObject35.bin"/><Relationship Id="rId128" Type="http://schemas.openxmlformats.org/officeDocument/2006/relationships/oleObject" Target="embeddings/oleObject62.bin"/><Relationship Id="rId149" Type="http://schemas.openxmlformats.org/officeDocument/2006/relationships/image" Target="media/image68.wmf"/><Relationship Id="rId5" Type="http://schemas.openxmlformats.org/officeDocument/2006/relationships/webSettings" Target="webSettings.xml"/><Relationship Id="rId95" Type="http://schemas.openxmlformats.org/officeDocument/2006/relationships/image" Target="media/image41.wmf"/><Relationship Id="rId160" Type="http://schemas.openxmlformats.org/officeDocument/2006/relationships/oleObject" Target="embeddings/oleObject78.bin"/><Relationship Id="rId181" Type="http://schemas.openxmlformats.org/officeDocument/2006/relationships/image" Target="media/image84.wmf"/><Relationship Id="rId22" Type="http://schemas.openxmlformats.org/officeDocument/2006/relationships/oleObject" Target="embeddings/oleObject9.bin"/><Relationship Id="rId43" Type="http://schemas.openxmlformats.org/officeDocument/2006/relationships/image" Target="media/image15.wmf"/><Relationship Id="rId64" Type="http://schemas.openxmlformats.org/officeDocument/2006/relationships/oleObject" Target="embeddings/oleObject30.bin"/><Relationship Id="rId118" Type="http://schemas.openxmlformats.org/officeDocument/2006/relationships/oleObject" Target="embeddings/oleObject57.bin"/><Relationship Id="rId139" Type="http://schemas.openxmlformats.org/officeDocument/2006/relationships/image" Target="media/image63.wmf"/><Relationship Id="rId85" Type="http://schemas.openxmlformats.org/officeDocument/2006/relationships/image" Target="media/image36.wmf"/><Relationship Id="rId150" Type="http://schemas.openxmlformats.org/officeDocument/2006/relationships/oleObject" Target="embeddings/oleObject73.bin"/><Relationship Id="rId171" Type="http://schemas.openxmlformats.org/officeDocument/2006/relationships/image" Target="media/image79.wmf"/><Relationship Id="rId12" Type="http://schemas.openxmlformats.org/officeDocument/2006/relationships/oleObject" Target="embeddings/oleObject2.bin"/><Relationship Id="rId33" Type="http://schemas.openxmlformats.org/officeDocument/2006/relationships/image" Target="media/image10.wmf"/><Relationship Id="rId108" Type="http://schemas.openxmlformats.org/officeDocument/2006/relationships/oleObject" Target="embeddings/oleObject52.bin"/><Relationship Id="rId129" Type="http://schemas.openxmlformats.org/officeDocument/2006/relationships/image" Target="media/image58.wmf"/><Relationship Id="rId54" Type="http://schemas.openxmlformats.org/officeDocument/2006/relationships/oleObject" Target="embeddings/oleObject25.bin"/><Relationship Id="rId75" Type="http://schemas.openxmlformats.org/officeDocument/2006/relationships/image" Target="media/image31.wmf"/><Relationship Id="rId96" Type="http://schemas.openxmlformats.org/officeDocument/2006/relationships/oleObject" Target="embeddings/oleObject46.bin"/><Relationship Id="rId140" Type="http://schemas.openxmlformats.org/officeDocument/2006/relationships/oleObject" Target="embeddings/oleObject68.bin"/><Relationship Id="rId161" Type="http://schemas.openxmlformats.org/officeDocument/2006/relationships/image" Target="media/image74.wmf"/><Relationship Id="rId182" Type="http://schemas.openxmlformats.org/officeDocument/2006/relationships/oleObject" Target="embeddings/oleObject89.bin"/><Relationship Id="rId6" Type="http://schemas.openxmlformats.org/officeDocument/2006/relationships/footnotes" Target="footnotes.xml"/><Relationship Id="rId23" Type="http://schemas.openxmlformats.org/officeDocument/2006/relationships/image" Target="media/image5.wmf"/><Relationship Id="rId119" Type="http://schemas.openxmlformats.org/officeDocument/2006/relationships/image" Target="media/image53.wmf"/><Relationship Id="rId44" Type="http://schemas.openxmlformats.org/officeDocument/2006/relationships/oleObject" Target="embeddings/oleObject20.bin"/><Relationship Id="rId65" Type="http://schemas.openxmlformats.org/officeDocument/2006/relationships/image" Target="media/image26.wmf"/><Relationship Id="rId86" Type="http://schemas.openxmlformats.org/officeDocument/2006/relationships/oleObject" Target="embeddings/oleObject41.bin"/><Relationship Id="rId130" Type="http://schemas.openxmlformats.org/officeDocument/2006/relationships/oleObject" Target="embeddings/oleObject63.bin"/><Relationship Id="rId151" Type="http://schemas.openxmlformats.org/officeDocument/2006/relationships/image" Target="media/image69.wmf"/><Relationship Id="rId172" Type="http://schemas.openxmlformats.org/officeDocument/2006/relationships/oleObject" Target="embeddings/oleObject84.bin"/><Relationship Id="rId13" Type="http://schemas.openxmlformats.org/officeDocument/2006/relationships/oleObject" Target="embeddings/oleObject3.bin"/><Relationship Id="rId18" Type="http://schemas.openxmlformats.org/officeDocument/2006/relationships/oleObject" Target="embeddings/oleObject7.bin"/><Relationship Id="rId39" Type="http://schemas.openxmlformats.org/officeDocument/2006/relationships/image" Target="media/image13.wmf"/><Relationship Id="rId109" Type="http://schemas.openxmlformats.org/officeDocument/2006/relationships/image" Target="media/image48.wmf"/><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1.wmf"/><Relationship Id="rId76" Type="http://schemas.openxmlformats.org/officeDocument/2006/relationships/oleObject" Target="embeddings/oleObject36.bin"/><Relationship Id="rId97" Type="http://schemas.openxmlformats.org/officeDocument/2006/relationships/image" Target="media/image42.wmf"/><Relationship Id="rId104" Type="http://schemas.openxmlformats.org/officeDocument/2006/relationships/oleObject" Target="embeddings/oleObject50.bin"/><Relationship Id="rId120" Type="http://schemas.openxmlformats.org/officeDocument/2006/relationships/oleObject" Target="embeddings/oleObject58.bin"/><Relationship Id="rId125" Type="http://schemas.openxmlformats.org/officeDocument/2006/relationships/image" Target="media/image56.wmf"/><Relationship Id="rId141" Type="http://schemas.openxmlformats.org/officeDocument/2006/relationships/image" Target="media/image64.wmf"/><Relationship Id="rId146" Type="http://schemas.openxmlformats.org/officeDocument/2006/relationships/oleObject" Target="embeddings/oleObject71.bin"/><Relationship Id="rId167" Type="http://schemas.openxmlformats.org/officeDocument/2006/relationships/image" Target="media/image77.wmf"/><Relationship Id="rId7" Type="http://schemas.openxmlformats.org/officeDocument/2006/relationships/endnotes" Target="endnotes.xml"/><Relationship Id="rId71" Type="http://schemas.openxmlformats.org/officeDocument/2006/relationships/image" Target="media/image29.wmf"/><Relationship Id="rId92" Type="http://schemas.openxmlformats.org/officeDocument/2006/relationships/oleObject" Target="embeddings/oleObject44.bin"/><Relationship Id="rId162" Type="http://schemas.openxmlformats.org/officeDocument/2006/relationships/oleObject" Target="embeddings/oleObject79.bin"/><Relationship Id="rId183"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8.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16.wmf"/><Relationship Id="rId66" Type="http://schemas.openxmlformats.org/officeDocument/2006/relationships/oleObject" Target="embeddings/oleObject31.bin"/><Relationship Id="rId87" Type="http://schemas.openxmlformats.org/officeDocument/2006/relationships/image" Target="media/image37.wmf"/><Relationship Id="rId110" Type="http://schemas.openxmlformats.org/officeDocument/2006/relationships/oleObject" Target="embeddings/oleObject53.bin"/><Relationship Id="rId115" Type="http://schemas.openxmlformats.org/officeDocument/2006/relationships/image" Target="media/image51.wmf"/><Relationship Id="rId131" Type="http://schemas.openxmlformats.org/officeDocument/2006/relationships/image" Target="media/image59.wmf"/><Relationship Id="rId136" Type="http://schemas.openxmlformats.org/officeDocument/2006/relationships/oleObject" Target="embeddings/oleObject66.bin"/><Relationship Id="rId157" Type="http://schemas.openxmlformats.org/officeDocument/2006/relationships/image" Target="media/image72.wmf"/><Relationship Id="rId178" Type="http://schemas.openxmlformats.org/officeDocument/2006/relationships/oleObject" Target="embeddings/oleObject87.bin"/><Relationship Id="rId61" Type="http://schemas.openxmlformats.org/officeDocument/2006/relationships/image" Target="media/image24.wmf"/><Relationship Id="rId82" Type="http://schemas.openxmlformats.org/officeDocument/2006/relationships/oleObject" Target="embeddings/oleObject39.bin"/><Relationship Id="rId152" Type="http://schemas.openxmlformats.org/officeDocument/2006/relationships/oleObject" Target="embeddings/oleObject74.bin"/><Relationship Id="rId173" Type="http://schemas.openxmlformats.org/officeDocument/2006/relationships/image" Target="media/image80.wmf"/><Relationship Id="rId19" Type="http://schemas.openxmlformats.org/officeDocument/2006/relationships/image" Target="media/image3.wmf"/><Relationship Id="rId14" Type="http://schemas.openxmlformats.org/officeDocument/2006/relationships/oleObject" Target="embeddings/oleObject4.bin"/><Relationship Id="rId30" Type="http://schemas.openxmlformats.org/officeDocument/2006/relationships/oleObject" Target="embeddings/oleObject13.bin"/><Relationship Id="rId35" Type="http://schemas.openxmlformats.org/officeDocument/2006/relationships/image" Target="media/image11.wmf"/><Relationship Id="rId56" Type="http://schemas.openxmlformats.org/officeDocument/2006/relationships/oleObject" Target="embeddings/oleObject26.bin"/><Relationship Id="rId77" Type="http://schemas.openxmlformats.org/officeDocument/2006/relationships/image" Target="media/image32.wmf"/><Relationship Id="rId100" Type="http://schemas.openxmlformats.org/officeDocument/2006/relationships/oleObject" Target="embeddings/oleObject48.bin"/><Relationship Id="rId105" Type="http://schemas.openxmlformats.org/officeDocument/2006/relationships/image" Target="media/image46.wmf"/><Relationship Id="rId126" Type="http://schemas.openxmlformats.org/officeDocument/2006/relationships/oleObject" Target="embeddings/oleObject61.bin"/><Relationship Id="rId147" Type="http://schemas.openxmlformats.org/officeDocument/2006/relationships/image" Target="media/image67.wmf"/><Relationship Id="rId168" Type="http://schemas.openxmlformats.org/officeDocument/2006/relationships/oleObject" Target="embeddings/oleObject82.bin"/><Relationship Id="rId8" Type="http://schemas.openxmlformats.org/officeDocument/2006/relationships/hyperlink" Target="https://orcid.org/0000-0002-7570-3267" TargetMode="External"/><Relationship Id="rId51" Type="http://schemas.openxmlformats.org/officeDocument/2006/relationships/image" Target="media/image19.wmf"/><Relationship Id="rId72" Type="http://schemas.openxmlformats.org/officeDocument/2006/relationships/oleObject" Target="embeddings/oleObject34.bin"/><Relationship Id="rId93" Type="http://schemas.openxmlformats.org/officeDocument/2006/relationships/image" Target="media/image40.wmf"/><Relationship Id="rId98" Type="http://schemas.openxmlformats.org/officeDocument/2006/relationships/oleObject" Target="embeddings/oleObject47.bin"/><Relationship Id="rId121" Type="http://schemas.openxmlformats.org/officeDocument/2006/relationships/image" Target="media/image54.wmf"/><Relationship Id="rId142" Type="http://schemas.openxmlformats.org/officeDocument/2006/relationships/oleObject" Target="embeddings/oleObject69.bin"/><Relationship Id="rId163" Type="http://schemas.openxmlformats.org/officeDocument/2006/relationships/image" Target="media/image75.wmf"/><Relationship Id="rId184" Type="http://schemas.openxmlformats.org/officeDocument/2006/relationships/header" Target="header2.xml"/><Relationship Id="rId3" Type="http://schemas.openxmlformats.org/officeDocument/2006/relationships/styles" Target="styles.xml"/><Relationship Id="rId25" Type="http://schemas.openxmlformats.org/officeDocument/2006/relationships/image" Target="media/image6.wmf"/><Relationship Id="rId46" Type="http://schemas.openxmlformats.org/officeDocument/2006/relationships/oleObject" Target="embeddings/oleObject21.bin"/><Relationship Id="rId67" Type="http://schemas.openxmlformats.org/officeDocument/2006/relationships/image" Target="media/image27.wmf"/><Relationship Id="rId116" Type="http://schemas.openxmlformats.org/officeDocument/2006/relationships/oleObject" Target="embeddings/oleObject56.bin"/><Relationship Id="rId137" Type="http://schemas.openxmlformats.org/officeDocument/2006/relationships/image" Target="media/image62.wmf"/><Relationship Id="rId158" Type="http://schemas.openxmlformats.org/officeDocument/2006/relationships/oleObject" Target="embeddings/oleObject77.bin"/><Relationship Id="rId20" Type="http://schemas.openxmlformats.org/officeDocument/2006/relationships/oleObject" Target="embeddings/oleObject8.bin"/><Relationship Id="rId41" Type="http://schemas.openxmlformats.org/officeDocument/2006/relationships/image" Target="media/image14.wmf"/><Relationship Id="rId62" Type="http://schemas.openxmlformats.org/officeDocument/2006/relationships/oleObject" Target="embeddings/oleObject29.bin"/><Relationship Id="rId83" Type="http://schemas.openxmlformats.org/officeDocument/2006/relationships/image" Target="media/image35.wmf"/><Relationship Id="rId88" Type="http://schemas.openxmlformats.org/officeDocument/2006/relationships/oleObject" Target="embeddings/oleObject42.bin"/><Relationship Id="rId111" Type="http://schemas.openxmlformats.org/officeDocument/2006/relationships/image" Target="media/image49.wmf"/><Relationship Id="rId132" Type="http://schemas.openxmlformats.org/officeDocument/2006/relationships/oleObject" Target="embeddings/oleObject64.bin"/><Relationship Id="rId153" Type="http://schemas.openxmlformats.org/officeDocument/2006/relationships/image" Target="media/image70.wmf"/><Relationship Id="rId174" Type="http://schemas.openxmlformats.org/officeDocument/2006/relationships/oleObject" Target="embeddings/oleObject85.bin"/><Relationship Id="rId179" Type="http://schemas.openxmlformats.org/officeDocument/2006/relationships/image" Target="media/image83.wmf"/><Relationship Id="rId15" Type="http://schemas.openxmlformats.org/officeDocument/2006/relationships/oleObject" Target="embeddings/oleObject5.bin"/><Relationship Id="rId36" Type="http://schemas.openxmlformats.org/officeDocument/2006/relationships/oleObject" Target="embeddings/oleObject16.bin"/><Relationship Id="rId57" Type="http://schemas.openxmlformats.org/officeDocument/2006/relationships/image" Target="media/image22.wmf"/><Relationship Id="rId106" Type="http://schemas.openxmlformats.org/officeDocument/2006/relationships/oleObject" Target="embeddings/oleObject51.bin"/><Relationship Id="rId127" Type="http://schemas.openxmlformats.org/officeDocument/2006/relationships/image" Target="media/image57.wmf"/><Relationship Id="rId10" Type="http://schemas.openxmlformats.org/officeDocument/2006/relationships/image" Target="media/image1.wmf"/><Relationship Id="rId31" Type="http://schemas.openxmlformats.org/officeDocument/2006/relationships/image" Target="media/image9.wmf"/><Relationship Id="rId52" Type="http://schemas.openxmlformats.org/officeDocument/2006/relationships/oleObject" Target="embeddings/oleObject24.bin"/><Relationship Id="rId73" Type="http://schemas.openxmlformats.org/officeDocument/2006/relationships/image" Target="media/image30.wmf"/><Relationship Id="rId78" Type="http://schemas.openxmlformats.org/officeDocument/2006/relationships/oleObject" Target="embeddings/oleObject37.bin"/><Relationship Id="rId94" Type="http://schemas.openxmlformats.org/officeDocument/2006/relationships/oleObject" Target="embeddings/oleObject45.bin"/><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oleObject" Target="embeddings/oleObject59.bin"/><Relationship Id="rId143" Type="http://schemas.openxmlformats.org/officeDocument/2006/relationships/image" Target="media/image65.wmf"/><Relationship Id="rId148" Type="http://schemas.openxmlformats.org/officeDocument/2006/relationships/oleObject" Target="embeddings/oleObject72.bin"/><Relationship Id="rId164" Type="http://schemas.openxmlformats.org/officeDocument/2006/relationships/oleObject" Target="embeddings/oleObject80.bin"/><Relationship Id="rId169" Type="http://schemas.openxmlformats.org/officeDocument/2006/relationships/image" Target="media/image78.wmf"/><Relationship Id="rId18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1-9123-4539" TargetMode="External"/><Relationship Id="rId180" Type="http://schemas.openxmlformats.org/officeDocument/2006/relationships/oleObject" Target="embeddings/oleObject88.bin"/><Relationship Id="rId26" Type="http://schemas.openxmlformats.org/officeDocument/2006/relationships/oleObject" Target="embeddings/oleObject11.bin"/><Relationship Id="rId47" Type="http://schemas.openxmlformats.org/officeDocument/2006/relationships/image" Target="media/image17.wmf"/><Relationship Id="rId68" Type="http://schemas.openxmlformats.org/officeDocument/2006/relationships/oleObject" Target="embeddings/oleObject32.bin"/><Relationship Id="rId89" Type="http://schemas.openxmlformats.org/officeDocument/2006/relationships/image" Target="media/image38.wmf"/><Relationship Id="rId112" Type="http://schemas.openxmlformats.org/officeDocument/2006/relationships/oleObject" Target="embeddings/oleObject54.bin"/><Relationship Id="rId133" Type="http://schemas.openxmlformats.org/officeDocument/2006/relationships/image" Target="media/image60.wmf"/><Relationship Id="rId154" Type="http://schemas.openxmlformats.org/officeDocument/2006/relationships/oleObject" Target="embeddings/oleObject75.bin"/><Relationship Id="rId175" Type="http://schemas.openxmlformats.org/officeDocument/2006/relationships/image" Target="media/image81.wmf"/><Relationship Id="rId16" Type="http://schemas.openxmlformats.org/officeDocument/2006/relationships/oleObject" Target="embeddings/oleObject6.bin"/><Relationship Id="rId37" Type="http://schemas.openxmlformats.org/officeDocument/2006/relationships/image" Target="media/image12.wmf"/><Relationship Id="rId58" Type="http://schemas.openxmlformats.org/officeDocument/2006/relationships/oleObject" Target="embeddings/oleObject27.bin"/><Relationship Id="rId79" Type="http://schemas.openxmlformats.org/officeDocument/2006/relationships/image" Target="media/image33.wmf"/><Relationship Id="rId102" Type="http://schemas.openxmlformats.org/officeDocument/2006/relationships/oleObject" Target="embeddings/oleObject49.bin"/><Relationship Id="rId123" Type="http://schemas.openxmlformats.org/officeDocument/2006/relationships/image" Target="media/image55.wmf"/><Relationship Id="rId144" Type="http://schemas.openxmlformats.org/officeDocument/2006/relationships/oleObject" Target="embeddings/oleObject70.bin"/><Relationship Id="rId90" Type="http://schemas.openxmlformats.org/officeDocument/2006/relationships/oleObject" Target="embeddings/oleObject43.bin"/><Relationship Id="rId165" Type="http://schemas.openxmlformats.org/officeDocument/2006/relationships/image" Target="media/image76.wmf"/><Relationship Id="rId186" Type="http://schemas.openxmlformats.org/officeDocument/2006/relationships/theme" Target="theme/theme1.xml"/><Relationship Id="rId27" Type="http://schemas.openxmlformats.org/officeDocument/2006/relationships/image" Target="media/image7.wmf"/><Relationship Id="rId48" Type="http://schemas.openxmlformats.org/officeDocument/2006/relationships/oleObject" Target="embeddings/oleObject22.bin"/><Relationship Id="rId69" Type="http://schemas.openxmlformats.org/officeDocument/2006/relationships/image" Target="media/image28.wmf"/><Relationship Id="rId113" Type="http://schemas.openxmlformats.org/officeDocument/2006/relationships/image" Target="media/image50.wmf"/><Relationship Id="rId134" Type="http://schemas.openxmlformats.org/officeDocument/2006/relationships/oleObject" Target="embeddings/oleObject65.bin"/><Relationship Id="rId80" Type="http://schemas.openxmlformats.org/officeDocument/2006/relationships/oleObject" Target="embeddings/oleObject38.bin"/><Relationship Id="rId155" Type="http://schemas.openxmlformats.org/officeDocument/2006/relationships/image" Target="media/image71.wmf"/><Relationship Id="rId176" Type="http://schemas.openxmlformats.org/officeDocument/2006/relationships/oleObject" Target="embeddings/oleObject86.bin"/><Relationship Id="rId17" Type="http://schemas.openxmlformats.org/officeDocument/2006/relationships/image" Target="media/image2.wmf"/><Relationship Id="rId38" Type="http://schemas.openxmlformats.org/officeDocument/2006/relationships/oleObject" Target="embeddings/oleObject17.bin"/><Relationship Id="rId59" Type="http://schemas.openxmlformats.org/officeDocument/2006/relationships/image" Target="media/image23.wmf"/><Relationship Id="rId103" Type="http://schemas.openxmlformats.org/officeDocument/2006/relationships/image" Target="media/image45.wmf"/><Relationship Id="rId124" Type="http://schemas.openxmlformats.org/officeDocument/2006/relationships/oleObject" Target="embeddings/oleObject60.bin"/><Relationship Id="rId70" Type="http://schemas.openxmlformats.org/officeDocument/2006/relationships/oleObject" Target="embeddings/oleObject33.bin"/><Relationship Id="rId91" Type="http://schemas.openxmlformats.org/officeDocument/2006/relationships/image" Target="media/image39.wmf"/><Relationship Id="rId145" Type="http://schemas.openxmlformats.org/officeDocument/2006/relationships/image" Target="media/image66.wmf"/><Relationship Id="rId166" Type="http://schemas.openxmlformats.org/officeDocument/2006/relationships/oleObject" Target="embeddings/oleObject81.bin"/><Relationship Id="rId1" Type="http://schemas.openxmlformats.org/officeDocument/2006/relationships/customXml" Target="../customXml/item1.xml"/><Relationship Id="rId28" Type="http://schemas.openxmlformats.org/officeDocument/2006/relationships/oleObject" Target="embeddings/oleObject12.bin"/><Relationship Id="rId49" Type="http://schemas.openxmlformats.org/officeDocument/2006/relationships/image" Target="media/image18.wmf"/><Relationship Id="rId114" Type="http://schemas.openxmlformats.org/officeDocument/2006/relationships/oleObject" Target="embeddings/oleObject55.bin"/><Relationship Id="rId60" Type="http://schemas.openxmlformats.org/officeDocument/2006/relationships/oleObject" Target="embeddings/oleObject28.bin"/><Relationship Id="rId81" Type="http://schemas.openxmlformats.org/officeDocument/2006/relationships/image" Target="media/image34.wmf"/><Relationship Id="rId135" Type="http://schemas.openxmlformats.org/officeDocument/2006/relationships/image" Target="media/image61.wmf"/><Relationship Id="rId156" Type="http://schemas.openxmlformats.org/officeDocument/2006/relationships/oleObject" Target="embeddings/oleObject76.bin"/><Relationship Id="rId177" Type="http://schemas.openxmlformats.org/officeDocument/2006/relationships/image" Target="media/image82.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AF665-DAD0-48CB-893F-2B46E7F5E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4721</Words>
  <Characters>26914</Characters>
  <Application>Microsoft Office Word</Application>
  <DocSecurity>0</DocSecurity>
  <Lines>224</Lines>
  <Paragraphs>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31572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Richter</dc:creator>
  <dc:description>Formats and macros for Springer Lecture Notes</dc:description>
  <cp:lastModifiedBy>Prof. Husin Alatas</cp:lastModifiedBy>
  <cp:revision>9</cp:revision>
  <cp:lastPrinted>2026-09-21T09:46:00Z</cp:lastPrinted>
  <dcterms:created xsi:type="dcterms:W3CDTF">2026-09-21T10:15:00Z</dcterms:created>
  <dcterms:modified xsi:type="dcterms:W3CDTF">2026-09-21T11:19:00Z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c03ec271-2762-42a9-b6eb-87e3d5455f27</vt:lpwstr>
  </property>
  <property fmtid="{D5CDD505-2E9C-101B-9397-08002B2CF9AE}" pid="3" name="MTWinEqns">
    <vt:bool>true</vt:bool>
  </property>
</Properties>
</file>