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262A6" w14:textId="77777777" w:rsidR="006B4B4C" w:rsidRDefault="00000000">
      <w:pPr>
        <w:spacing w:after="120"/>
        <w:jc w:val="center"/>
      </w:pPr>
      <w:r>
        <w:rPr>
          <w:b/>
          <w:bCs/>
          <w:sz w:val="30"/>
          <w:szCs w:val="30"/>
        </w:rPr>
        <w:t>Response to Reviewers</w:t>
      </w:r>
    </w:p>
    <w:p w14:paraId="1D8F647B" w14:textId="3EB25AAF" w:rsidR="00C25D06" w:rsidRDefault="00000000" w:rsidP="00C25D06">
      <w:pPr>
        <w:spacing w:after="40"/>
        <w:jc w:val="center"/>
      </w:pPr>
      <w:r>
        <w:t>Manuscript No. 53</w:t>
      </w:r>
    </w:p>
    <w:p w14:paraId="210E84EC" w14:textId="1DB38689" w:rsidR="006B4B4C" w:rsidRDefault="006B4B4C">
      <w:pPr>
        <w:spacing w:after="240"/>
        <w:jc w:val="center"/>
      </w:pPr>
    </w:p>
    <w:p w14:paraId="450E1B17" w14:textId="1649C435" w:rsidR="006B4B4C" w:rsidRDefault="00000000">
      <w:pPr>
        <w:spacing w:after="240" w:line="264" w:lineRule="auto"/>
        <w:jc w:val="both"/>
      </w:pPr>
      <w:r>
        <w:t xml:space="preserve">We thank both reviewers for their comments on our manuscript. Our responses are summarized in the tables below, together with the corresponding revisions. In the revised manuscript, the changes made in response to Reviewer #1 are marked in </w:t>
      </w:r>
      <w:r w:rsidR="00C25D06" w:rsidRPr="00C25D06">
        <w:rPr>
          <w:b/>
          <w:bCs/>
          <w:color w:val="EE0000"/>
        </w:rPr>
        <w:t>RED</w:t>
      </w:r>
      <w:r>
        <w:t xml:space="preserve">, while those made in response to Reviewer #2 are marked in </w:t>
      </w:r>
      <w:r w:rsidR="00C25D06" w:rsidRPr="00C25D06">
        <w:rPr>
          <w:b/>
          <w:bCs/>
          <w:color w:val="0000FF"/>
          <w:sz w:val="20"/>
          <w:szCs w:val="20"/>
        </w:rPr>
        <w:t>BLUE</w:t>
      </w:r>
      <w:r>
        <w:t>.</w:t>
      </w:r>
    </w:p>
    <w:p w14:paraId="49321487" w14:textId="77777777" w:rsidR="006B4B4C" w:rsidRDefault="00000000">
      <w:pPr>
        <w:keepNext/>
        <w:spacing w:before="120" w:after="120"/>
      </w:pPr>
      <w:r>
        <w:rPr>
          <w:b/>
          <w:bCs/>
          <w:sz w:val="24"/>
          <w:szCs w:val="24"/>
        </w:rPr>
        <w:t>Reviewer #1</w:t>
      </w:r>
    </w:p>
    <w:tbl>
      <w:tblPr>
        <w:tblW w:w="14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3350"/>
        <w:gridCol w:w="5050"/>
        <w:gridCol w:w="5718"/>
      </w:tblGrid>
      <w:tr w:rsidR="006B4B4C" w14:paraId="6F26979E" w14:textId="77777777" w:rsidTr="00C25D06">
        <w:tblPrEx>
          <w:tblCellMar>
            <w:top w:w="0" w:type="dxa"/>
            <w:bottom w:w="0" w:type="dxa"/>
          </w:tblCellMar>
        </w:tblPrEx>
        <w:trPr>
          <w:cantSplit/>
          <w:tblHeader/>
        </w:trPr>
        <w:tc>
          <w:tcPr>
            <w:tcW w:w="560"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80" w:type="dxa"/>
              <w:left w:w="100" w:type="dxa"/>
              <w:bottom w:w="60" w:type="dxa"/>
              <w:right w:w="100" w:type="dxa"/>
            </w:tcMar>
            <w:vAlign w:val="center"/>
          </w:tcPr>
          <w:p w14:paraId="214A4A59" w14:textId="77777777" w:rsidR="006B4B4C" w:rsidRDefault="00000000">
            <w:pPr>
              <w:jc w:val="center"/>
            </w:pPr>
            <w:r>
              <w:rPr>
                <w:b/>
                <w:bCs/>
                <w:sz w:val="20"/>
                <w:szCs w:val="20"/>
              </w:rPr>
              <w:t>No.</w:t>
            </w:r>
          </w:p>
        </w:tc>
        <w:tc>
          <w:tcPr>
            <w:tcW w:w="3350"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80" w:type="dxa"/>
              <w:left w:w="100" w:type="dxa"/>
              <w:bottom w:w="60" w:type="dxa"/>
              <w:right w:w="100" w:type="dxa"/>
            </w:tcMar>
            <w:vAlign w:val="center"/>
          </w:tcPr>
          <w:p w14:paraId="3A1300DD" w14:textId="77777777" w:rsidR="006B4B4C" w:rsidRDefault="00000000">
            <w:pPr>
              <w:jc w:val="center"/>
            </w:pPr>
            <w:r>
              <w:rPr>
                <w:b/>
                <w:bCs/>
                <w:sz w:val="20"/>
                <w:szCs w:val="20"/>
              </w:rPr>
              <w:t>Reviewer's Comment</w:t>
            </w:r>
          </w:p>
        </w:tc>
        <w:tc>
          <w:tcPr>
            <w:tcW w:w="5050"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80" w:type="dxa"/>
              <w:left w:w="100" w:type="dxa"/>
              <w:bottom w:w="60" w:type="dxa"/>
              <w:right w:w="100" w:type="dxa"/>
            </w:tcMar>
            <w:vAlign w:val="center"/>
          </w:tcPr>
          <w:p w14:paraId="0614F189" w14:textId="52EABE20" w:rsidR="006B4B4C" w:rsidRDefault="00C25D06">
            <w:pPr>
              <w:jc w:val="center"/>
            </w:pPr>
            <w:r>
              <w:rPr>
                <w:b/>
                <w:bCs/>
                <w:sz w:val="20"/>
                <w:szCs w:val="20"/>
              </w:rPr>
              <w:t>Our</w:t>
            </w:r>
            <w:r w:rsidR="00000000">
              <w:rPr>
                <w:b/>
                <w:bCs/>
                <w:sz w:val="20"/>
                <w:szCs w:val="20"/>
              </w:rPr>
              <w:t xml:space="preserve"> Response</w:t>
            </w:r>
          </w:p>
        </w:tc>
        <w:tc>
          <w:tcPr>
            <w:tcW w:w="5718"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80" w:type="dxa"/>
              <w:left w:w="100" w:type="dxa"/>
              <w:bottom w:w="60" w:type="dxa"/>
              <w:right w:w="100" w:type="dxa"/>
            </w:tcMar>
            <w:vAlign w:val="center"/>
          </w:tcPr>
          <w:p w14:paraId="6C82C0AD" w14:textId="77777777" w:rsidR="006B4B4C" w:rsidRDefault="00000000">
            <w:pPr>
              <w:jc w:val="center"/>
            </w:pPr>
            <w:r>
              <w:rPr>
                <w:b/>
                <w:bCs/>
                <w:sz w:val="20"/>
                <w:szCs w:val="20"/>
              </w:rPr>
              <w:t>Revision in the Manuscript</w:t>
            </w:r>
          </w:p>
        </w:tc>
      </w:tr>
      <w:tr w:rsidR="006B4B4C" w14:paraId="5CEDAEDA" w14:textId="77777777">
        <w:tblPrEx>
          <w:tblCellMar>
            <w:top w:w="0" w:type="dxa"/>
            <w:bottom w:w="0" w:type="dxa"/>
          </w:tblCellMar>
        </w:tblPrEx>
        <w:trPr>
          <w:cantSplit/>
        </w:trPr>
        <w:tc>
          <w:tcPr>
            <w:tcW w:w="56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36938275" w14:textId="77777777" w:rsidR="006B4B4C" w:rsidRDefault="00000000">
            <w:pPr>
              <w:spacing w:after="80"/>
              <w:jc w:val="center"/>
            </w:pPr>
            <w:r>
              <w:rPr>
                <w:sz w:val="20"/>
                <w:szCs w:val="20"/>
              </w:rPr>
              <w:t>1</w:t>
            </w:r>
          </w:p>
        </w:tc>
        <w:tc>
          <w:tcPr>
            <w:tcW w:w="33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5400984C" w14:textId="77777777" w:rsidR="006B4B4C" w:rsidRDefault="00000000">
            <w:pPr>
              <w:spacing w:after="80"/>
            </w:pPr>
            <w:r>
              <w:rPr>
                <w:i/>
                <w:iCs/>
                <w:sz w:val="20"/>
                <w:szCs w:val="20"/>
              </w:rPr>
              <w:t>The writer must give proof that the analytical results match the experimental results from double quantum dots made of GaAs or Si/Ge. Add the references.</w:t>
            </w:r>
          </w:p>
        </w:tc>
        <w:tc>
          <w:tcPr>
            <w:tcW w:w="50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35DF74A0" w14:textId="77777777" w:rsidR="006B4B4C" w:rsidRDefault="00000000">
            <w:pPr>
              <w:spacing w:after="80"/>
            </w:pPr>
            <w:r>
              <w:rPr>
                <w:sz w:val="20"/>
                <w:szCs w:val="20"/>
              </w:rPr>
              <w:t>In the revised manuscript, we have compared the analytical results with experiments on GaAs and Si/</w:t>
            </w:r>
            <w:proofErr w:type="spellStart"/>
            <w:r>
              <w:rPr>
                <w:sz w:val="20"/>
                <w:szCs w:val="20"/>
              </w:rPr>
              <w:t>SiGe</w:t>
            </w:r>
            <w:proofErr w:type="spellEnd"/>
            <w:r>
              <w:rPr>
                <w:sz w:val="20"/>
                <w:szCs w:val="20"/>
              </w:rPr>
              <w:t xml:space="preserve"> double quantum dots, and we have added two related references [18, 19]. Based on </w:t>
            </w:r>
            <w:proofErr w:type="spellStart"/>
            <w:r>
              <w:rPr>
                <w:sz w:val="20"/>
                <w:szCs w:val="20"/>
              </w:rPr>
              <w:t>Eqs</w:t>
            </w:r>
            <w:proofErr w:type="spellEnd"/>
            <w:r>
              <w:rPr>
                <w:sz w:val="20"/>
                <w:szCs w:val="20"/>
              </w:rPr>
              <w:t>. (8) and (11), one triplet branch becomes degenerate with the singlet when the Zeeman energy equals the singlet-triplet splitting. This condition is nothing but the singlet-triplet degeneracy observed in a GaAs double quantum dot by Laird et al. [18], who used it to measure the exchange energy. Meanwhile, the quadrature form of Eq. (11) corresponds to the singlet-triplet oscillation frequency measured in GaAs [17] and Si/</w:t>
            </w:r>
            <w:proofErr w:type="spellStart"/>
            <w:r>
              <w:rPr>
                <w:sz w:val="20"/>
                <w:szCs w:val="20"/>
              </w:rPr>
              <w:t>SiGe</w:t>
            </w:r>
            <w:proofErr w:type="spellEnd"/>
            <w:r>
              <w:rPr>
                <w:sz w:val="20"/>
                <w:szCs w:val="20"/>
              </w:rPr>
              <w:t xml:space="preserve"> [16, 19] devices.</w:t>
            </w:r>
          </w:p>
        </w:tc>
        <w:tc>
          <w:tcPr>
            <w:tcW w:w="5718"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5889EFDF" w14:textId="77777777" w:rsidR="006B4B4C" w:rsidRDefault="00000000">
            <w:pPr>
              <w:spacing w:after="40"/>
            </w:pPr>
            <w:r>
              <w:rPr>
                <w:i/>
                <w:iCs/>
                <w:sz w:val="20"/>
                <w:szCs w:val="20"/>
              </w:rPr>
              <w:t>Section 4, end of the fourth paragraph after Eq. (14):</w:t>
            </w:r>
          </w:p>
          <w:p w14:paraId="3EC41E5F" w14:textId="77777777" w:rsidR="006B4B4C" w:rsidRDefault="00000000">
            <w:pPr>
              <w:spacing w:after="80"/>
            </w:pPr>
            <w:r>
              <w:rPr>
                <w:color w:val="FF0000"/>
                <w:sz w:val="20"/>
                <w:szCs w:val="20"/>
              </w:rPr>
              <w:t>Our results agree with experiments on GaAs and Si/</w:t>
            </w:r>
            <w:proofErr w:type="spellStart"/>
            <w:r>
              <w:rPr>
                <w:color w:val="FF0000"/>
                <w:sz w:val="20"/>
                <w:szCs w:val="20"/>
              </w:rPr>
              <w:t>SiGe</w:t>
            </w:r>
            <w:proofErr w:type="spellEnd"/>
            <w:r>
              <w:rPr>
                <w:color w:val="FF0000"/>
                <w:sz w:val="20"/>
                <w:szCs w:val="20"/>
              </w:rPr>
              <w:t xml:space="preserve"> double quantum dots. In GaAs, the singlet-triplet degeneracy is observed when the exchange energy equals the Zeeman energy [18], which is nothing but the coincidence condition obtained above. In the meantime, the quadrature form of Eq. (11) corresponds to the singlet-triplet oscillation frequency measured in GaAs [17] and Si/</w:t>
            </w:r>
            <w:proofErr w:type="spellStart"/>
            <w:r>
              <w:rPr>
                <w:color w:val="FF0000"/>
                <w:sz w:val="20"/>
                <w:szCs w:val="20"/>
              </w:rPr>
              <w:t>SiGe</w:t>
            </w:r>
            <w:proofErr w:type="spellEnd"/>
            <w:r>
              <w:rPr>
                <w:color w:val="FF0000"/>
                <w:sz w:val="20"/>
                <w:szCs w:val="20"/>
              </w:rPr>
              <w:t xml:space="preserve"> [16, 19] devices.</w:t>
            </w:r>
          </w:p>
          <w:p w14:paraId="04CDEC9F" w14:textId="77777777" w:rsidR="006B4B4C" w:rsidRDefault="00000000">
            <w:pPr>
              <w:spacing w:after="40"/>
            </w:pPr>
            <w:r>
              <w:rPr>
                <w:i/>
                <w:iCs/>
                <w:sz w:val="20"/>
                <w:szCs w:val="20"/>
              </w:rPr>
              <w:t>New references:</w:t>
            </w:r>
          </w:p>
          <w:p w14:paraId="6AFB3586" w14:textId="77777777" w:rsidR="006B4B4C" w:rsidRDefault="00000000">
            <w:pPr>
              <w:spacing w:after="80"/>
            </w:pPr>
            <w:r>
              <w:rPr>
                <w:color w:val="FF0000"/>
                <w:sz w:val="20"/>
                <w:szCs w:val="20"/>
              </w:rPr>
              <w:t>[18] E. A. Laird et al., Phys. Rev. Lett. 97, 056801 (2006).</w:t>
            </w:r>
          </w:p>
          <w:p w14:paraId="42414480" w14:textId="77777777" w:rsidR="006B4B4C" w:rsidRDefault="00000000">
            <w:pPr>
              <w:spacing w:after="80"/>
            </w:pPr>
            <w:r>
              <w:rPr>
                <w:color w:val="FF0000"/>
                <w:sz w:val="20"/>
                <w:szCs w:val="20"/>
              </w:rPr>
              <w:t>[19] B. M. Maune et al., Nature 481, 344 (2012).</w:t>
            </w:r>
          </w:p>
        </w:tc>
      </w:tr>
      <w:tr w:rsidR="006B4B4C" w14:paraId="0AAD00F1" w14:textId="77777777">
        <w:tblPrEx>
          <w:tblCellMar>
            <w:top w:w="0" w:type="dxa"/>
            <w:bottom w:w="0" w:type="dxa"/>
          </w:tblCellMar>
        </w:tblPrEx>
        <w:trPr>
          <w:cantSplit/>
        </w:trPr>
        <w:tc>
          <w:tcPr>
            <w:tcW w:w="56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2559BE8F" w14:textId="77777777" w:rsidR="006B4B4C" w:rsidRDefault="00000000">
            <w:pPr>
              <w:spacing w:after="80"/>
              <w:jc w:val="center"/>
            </w:pPr>
            <w:r>
              <w:rPr>
                <w:sz w:val="20"/>
                <w:szCs w:val="20"/>
              </w:rPr>
              <w:t>2</w:t>
            </w:r>
          </w:p>
        </w:tc>
        <w:tc>
          <w:tcPr>
            <w:tcW w:w="33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7EF033DC" w14:textId="77777777" w:rsidR="006B4B4C" w:rsidRDefault="00000000">
            <w:pPr>
              <w:spacing w:after="80"/>
            </w:pPr>
            <w:r>
              <w:rPr>
                <w:i/>
                <w:iCs/>
                <w:sz w:val="20"/>
                <w:szCs w:val="20"/>
              </w:rPr>
              <w:t xml:space="preserve">Are there physical effects or things that can be seen that make the </w:t>
            </w:r>
            <w:proofErr w:type="spellStart"/>
            <w:r>
              <w:rPr>
                <w:i/>
                <w:iCs/>
                <w:sz w:val="20"/>
                <w:szCs w:val="20"/>
              </w:rPr>
              <w:t>Budiyono</w:t>
            </w:r>
            <w:proofErr w:type="spellEnd"/>
            <w:r>
              <w:rPr>
                <w:i/>
                <w:iCs/>
                <w:sz w:val="20"/>
                <w:szCs w:val="20"/>
              </w:rPr>
              <w:t>-Rohrlich method different from the non-relativistic version of the standard Dirac equation?</w:t>
            </w:r>
          </w:p>
        </w:tc>
        <w:tc>
          <w:tcPr>
            <w:tcW w:w="50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60027CCD" w14:textId="77777777" w:rsidR="006B4B4C" w:rsidRDefault="00000000">
            <w:pPr>
              <w:spacing w:after="80"/>
            </w:pPr>
            <w:r>
              <w:rPr>
                <w:sz w:val="20"/>
                <w:szCs w:val="20"/>
              </w:rPr>
              <w:t xml:space="preserve">For the present system, there is no observable effect that distinguishes the two approaches. It is shown in ref. [7] that the </w:t>
            </w:r>
            <w:proofErr w:type="spellStart"/>
            <w:r>
              <w:rPr>
                <w:sz w:val="20"/>
                <w:szCs w:val="20"/>
              </w:rPr>
              <w:t>Budiyono</w:t>
            </w:r>
            <w:proofErr w:type="spellEnd"/>
            <w:r>
              <w:rPr>
                <w:sz w:val="20"/>
                <w:szCs w:val="20"/>
              </w:rPr>
              <w:t>-Rohrlich statistical model leads to the same Pauli equation as the non-relativistic limit of the Dirac equation, such that the two approaches give identical observable predictions. The difference between them lies only in their conceptual basis, and we have stated this explicitly in the revised manuscript.</w:t>
            </w:r>
          </w:p>
        </w:tc>
        <w:tc>
          <w:tcPr>
            <w:tcW w:w="5718"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5A7AA44E" w14:textId="77777777" w:rsidR="006B4B4C" w:rsidRDefault="00000000">
            <w:pPr>
              <w:spacing w:after="40"/>
            </w:pPr>
            <w:r>
              <w:rPr>
                <w:i/>
                <w:iCs/>
                <w:sz w:val="20"/>
                <w:szCs w:val="20"/>
              </w:rPr>
              <w:t>Section 2, beginning of the last paragraph:</w:t>
            </w:r>
          </w:p>
          <w:p w14:paraId="2DFE2A64" w14:textId="77777777" w:rsidR="006B4B4C" w:rsidRDefault="00000000">
            <w:pPr>
              <w:spacing w:after="80"/>
            </w:pPr>
            <w:r>
              <w:rPr>
                <w:color w:val="FF0000"/>
                <w:sz w:val="20"/>
                <w:szCs w:val="20"/>
              </w:rPr>
              <w:t xml:space="preserve">Note that Eq. (1) is obtained both from the non-relativistic limit of the Dirac equation [6] and from the </w:t>
            </w:r>
            <w:proofErr w:type="spellStart"/>
            <w:r>
              <w:rPr>
                <w:color w:val="FF0000"/>
                <w:sz w:val="20"/>
                <w:szCs w:val="20"/>
              </w:rPr>
              <w:t>Budiyono</w:t>
            </w:r>
            <w:proofErr w:type="spellEnd"/>
            <w:r>
              <w:rPr>
                <w:color w:val="FF0000"/>
                <w:sz w:val="20"/>
                <w:szCs w:val="20"/>
              </w:rPr>
              <w:t>-Rohrlich statistical model [7], such that the two routes give identical observable predictions for the present system and differ only in their conceptual basis.</w:t>
            </w:r>
          </w:p>
        </w:tc>
      </w:tr>
      <w:tr w:rsidR="006B4B4C" w14:paraId="2193A491" w14:textId="77777777">
        <w:tblPrEx>
          <w:tblCellMar>
            <w:top w:w="0" w:type="dxa"/>
            <w:bottom w:w="0" w:type="dxa"/>
          </w:tblCellMar>
        </w:tblPrEx>
        <w:trPr>
          <w:cantSplit/>
        </w:trPr>
        <w:tc>
          <w:tcPr>
            <w:tcW w:w="56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2A09E363" w14:textId="77777777" w:rsidR="006B4B4C" w:rsidRDefault="00000000">
            <w:pPr>
              <w:spacing w:after="80"/>
              <w:jc w:val="center"/>
            </w:pPr>
            <w:r>
              <w:rPr>
                <w:sz w:val="20"/>
                <w:szCs w:val="20"/>
              </w:rPr>
              <w:lastRenderedPageBreak/>
              <w:t>3</w:t>
            </w:r>
          </w:p>
        </w:tc>
        <w:tc>
          <w:tcPr>
            <w:tcW w:w="33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58650B87" w14:textId="77777777" w:rsidR="006B4B4C" w:rsidRDefault="00000000">
            <w:pPr>
              <w:spacing w:after="80"/>
            </w:pPr>
            <w:r>
              <w:rPr>
                <w:i/>
                <w:iCs/>
                <w:sz w:val="20"/>
                <w:szCs w:val="20"/>
              </w:rPr>
              <w:t>More discussion should be added about what might happen in the future. Specifically look into how this model can be used for quantum-dot systems. Can the block-diagonalization property still be found in a way when working in bigger spaces?</w:t>
            </w:r>
          </w:p>
        </w:tc>
        <w:tc>
          <w:tcPr>
            <w:tcW w:w="50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37782D95" w14:textId="77777777" w:rsidR="006B4B4C" w:rsidRDefault="00000000">
            <w:pPr>
              <w:spacing w:after="80"/>
            </w:pPr>
            <w:r>
              <w:rPr>
                <w:sz w:val="20"/>
                <w:szCs w:val="20"/>
              </w:rPr>
              <w:t>It is important to emphasize that the block-diagonalization property is not restricted to two spins. For a chain of quantum dots, the total spin projection along the field remains conserved as long as the exchange is isotropic and the Zeeman fields are collinear, even when the Zeeman strengths differ from dot to dot. The corresponding Hamiltonian then decomposes into blocks with dimensions given by the binomial coefficients, namely: 1, 3, 3, and 1 for a triple quantum dot, which still admits closed-form solutions. We have added this discussion to the conclusion, together with our future work on multi-dot arrays.</w:t>
            </w:r>
          </w:p>
        </w:tc>
        <w:tc>
          <w:tcPr>
            <w:tcW w:w="5718"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18798A6B" w14:textId="77777777" w:rsidR="006B4B4C" w:rsidRDefault="00000000">
            <w:pPr>
              <w:spacing w:after="40"/>
            </w:pPr>
            <w:r>
              <w:rPr>
                <w:i/>
                <w:iCs/>
                <w:sz w:val="20"/>
                <w:szCs w:val="20"/>
              </w:rPr>
              <w:t>Section 5, last paragraph (new):</w:t>
            </w:r>
          </w:p>
          <w:p w14:paraId="09BFE3D2" w14:textId="77777777" w:rsidR="006B4B4C" w:rsidRDefault="00000000">
            <w:pPr>
              <w:spacing w:after="80"/>
            </w:pPr>
            <w:r>
              <w:rPr>
                <w:color w:val="FF0000"/>
                <w:sz w:val="20"/>
                <w:szCs w:val="20"/>
              </w:rPr>
              <w:t>To this end, it is important to emphasize that the block structure is not restricted to two spins. For a chain of dots, the total spin projection along the field remains conserved if the exchange is isotropic and the Zeeman fields are collinear. This holds even for different Zeeman strengths. In this case, the corresponding blocks have dimensions given by the binomial coefficients, namely: 1, 3, 3, and 1 for a triple quantum dot, which still admits closed-form solutions. Our future work will extend the model to such multi-dot arrays [15], together with spin-orbit coupling.</w:t>
            </w:r>
          </w:p>
        </w:tc>
      </w:tr>
      <w:tr w:rsidR="006B4B4C" w14:paraId="314610F7" w14:textId="77777777">
        <w:tblPrEx>
          <w:tblCellMar>
            <w:top w:w="0" w:type="dxa"/>
            <w:bottom w:w="0" w:type="dxa"/>
          </w:tblCellMar>
        </w:tblPrEx>
        <w:trPr>
          <w:cantSplit/>
        </w:trPr>
        <w:tc>
          <w:tcPr>
            <w:tcW w:w="56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381D07C6" w14:textId="77777777" w:rsidR="006B4B4C" w:rsidRDefault="00000000">
            <w:pPr>
              <w:spacing w:after="80"/>
              <w:jc w:val="center"/>
            </w:pPr>
            <w:r>
              <w:rPr>
                <w:sz w:val="20"/>
                <w:szCs w:val="20"/>
              </w:rPr>
              <w:t>4</w:t>
            </w:r>
          </w:p>
        </w:tc>
        <w:tc>
          <w:tcPr>
            <w:tcW w:w="33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4CBFFA24" w14:textId="77777777" w:rsidR="006B4B4C" w:rsidRDefault="00000000">
            <w:pPr>
              <w:spacing w:after="80"/>
            </w:pPr>
            <w:r>
              <w:rPr>
                <w:i/>
                <w:iCs/>
                <w:sz w:val="20"/>
                <w:szCs w:val="20"/>
              </w:rPr>
              <w:t xml:space="preserve">The way the wave function is split into Ψ = </w:t>
            </w:r>
            <w:proofErr w:type="gramStart"/>
            <w:r>
              <w:rPr>
                <w:i/>
                <w:iCs/>
                <w:sz w:val="20"/>
                <w:szCs w:val="20"/>
              </w:rPr>
              <w:t>Φ(</w:t>
            </w:r>
            <w:proofErr w:type="gramEnd"/>
            <w:r>
              <w:rPr>
                <w:i/>
                <w:iCs/>
                <w:sz w:val="20"/>
                <w:szCs w:val="20"/>
              </w:rPr>
              <w:t>r₁ r</w:t>
            </w:r>
            <w:proofErr w:type="gramStart"/>
            <w:r>
              <w:rPr>
                <w:i/>
                <w:iCs/>
                <w:sz w:val="20"/>
                <w:szCs w:val="20"/>
              </w:rPr>
              <w:t>₂)χ</w:t>
            </w:r>
            <w:proofErr w:type="gramEnd"/>
            <w:r>
              <w:rPr>
                <w:i/>
                <w:iCs/>
                <w:sz w:val="20"/>
                <w:szCs w:val="20"/>
              </w:rPr>
              <w:t xml:space="preserve"> assumes that the space part does not change the spin part. What happens to the mixing angle when an electron is in an energy state?</w:t>
            </w:r>
          </w:p>
        </w:tc>
        <w:tc>
          <w:tcPr>
            <w:tcW w:w="50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7BEC0E4B" w14:textId="77777777" w:rsidR="006B4B4C" w:rsidRDefault="00000000">
            <w:pPr>
              <w:spacing w:after="80"/>
            </w:pPr>
            <w:r>
              <w:rPr>
                <w:sz w:val="20"/>
                <w:szCs w:val="20"/>
              </w:rPr>
              <w:t>The factorization into spatial and spin parts holds exactly in the present model, since the spin Hamiltonian does not depend on the positions of the particles. The orbital state therefore enters the spin sector only through the exchange coupling, which changes when an electron occupies an excited orbital state. Based on Eq. (14), the mixing angle is then modified for unequal Zeeman charges, whereas it remains at its maximal value for equal ones.</w:t>
            </w:r>
          </w:p>
        </w:tc>
        <w:tc>
          <w:tcPr>
            <w:tcW w:w="5718"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29ED3D92" w14:textId="77777777" w:rsidR="006B4B4C" w:rsidRDefault="00000000">
            <w:pPr>
              <w:spacing w:after="40"/>
            </w:pPr>
            <w:r>
              <w:rPr>
                <w:i/>
                <w:iCs/>
                <w:sz w:val="20"/>
                <w:szCs w:val="20"/>
              </w:rPr>
              <w:t>Section 4, fifth paragraph after Eq. (14) (new):</w:t>
            </w:r>
          </w:p>
          <w:p w14:paraId="0D5FDA4A" w14:textId="77777777" w:rsidR="006B4B4C" w:rsidRDefault="00000000">
            <w:pPr>
              <w:spacing w:after="80"/>
            </w:pPr>
            <w:r>
              <w:rPr>
                <w:color w:val="FF0000"/>
                <w:sz w:val="20"/>
                <w:szCs w:val="20"/>
              </w:rPr>
              <w:t>It is readily seen that the factorization into spatial and spin parts holds, since the spin Hamiltonian does not depend on the positions of the particles. The orbital state therefore enters only through the exchange coupling. However, this coupling changes when an electron occupies an excited orbital state. Based on Eq. (14), the corresponding mixing angle is then modified for unequal Zeeman charges, but it remains maximal for equal ones.</w:t>
            </w:r>
          </w:p>
        </w:tc>
      </w:tr>
      <w:tr w:rsidR="006B4B4C" w14:paraId="72095E93" w14:textId="77777777">
        <w:tblPrEx>
          <w:tblCellMar>
            <w:top w:w="0" w:type="dxa"/>
            <w:bottom w:w="0" w:type="dxa"/>
          </w:tblCellMar>
        </w:tblPrEx>
        <w:trPr>
          <w:cantSplit/>
        </w:trPr>
        <w:tc>
          <w:tcPr>
            <w:tcW w:w="56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6805A387" w14:textId="77777777" w:rsidR="006B4B4C" w:rsidRDefault="00000000">
            <w:pPr>
              <w:spacing w:after="80"/>
              <w:jc w:val="center"/>
            </w:pPr>
            <w:r>
              <w:rPr>
                <w:sz w:val="20"/>
                <w:szCs w:val="20"/>
              </w:rPr>
              <w:t>5</w:t>
            </w:r>
          </w:p>
        </w:tc>
        <w:tc>
          <w:tcPr>
            <w:tcW w:w="33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3B5F5D0B" w14:textId="77777777" w:rsidR="006B4B4C" w:rsidRDefault="00000000">
            <w:pPr>
              <w:spacing w:after="80"/>
            </w:pPr>
            <w:r>
              <w:rPr>
                <w:i/>
                <w:iCs/>
                <w:sz w:val="20"/>
                <w:szCs w:val="20"/>
              </w:rPr>
              <w:t xml:space="preserve">Why are SOC effects like </w:t>
            </w:r>
            <w:proofErr w:type="spellStart"/>
            <w:r>
              <w:rPr>
                <w:i/>
                <w:iCs/>
                <w:sz w:val="20"/>
                <w:szCs w:val="20"/>
              </w:rPr>
              <w:t>Rashba</w:t>
            </w:r>
            <w:proofErr w:type="spellEnd"/>
            <w:r>
              <w:rPr>
                <w:i/>
                <w:iCs/>
                <w:sz w:val="20"/>
                <w:szCs w:val="20"/>
              </w:rPr>
              <w:t xml:space="preserve"> or Dresselhaus not part of the bipartite Pauli equation even though these effects have an impact, on spin relaxation and how fast the spin loses its state as well as how electric fields can control the spin?</w:t>
            </w:r>
          </w:p>
        </w:tc>
        <w:tc>
          <w:tcPr>
            <w:tcW w:w="50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54813128" w14:textId="77777777" w:rsidR="006B4B4C" w:rsidRDefault="00000000">
            <w:pPr>
              <w:spacing w:after="80"/>
            </w:pPr>
            <w:r>
              <w:rPr>
                <w:sz w:val="20"/>
                <w:szCs w:val="20"/>
              </w:rPr>
              <w:t xml:space="preserve">We agree that the spin-orbit coupling governs spin relaxation, dephasing, and the electric control of spins. However, the associated energy is typically small compared with the exchange and Zeeman energies in GaAs and Si double quantum dots [15], and the present work focuses on the closed-form structure of the spin spectrum. For this spectrum, the main effect of the spin-orbit coupling is to turn the singlet-triplet crossing into an </w:t>
            </w:r>
            <w:proofErr w:type="spellStart"/>
            <w:r>
              <w:rPr>
                <w:sz w:val="20"/>
                <w:szCs w:val="20"/>
              </w:rPr>
              <w:t>anticrossing</w:t>
            </w:r>
            <w:proofErr w:type="spellEnd"/>
            <w:r>
              <w:rPr>
                <w:sz w:val="20"/>
                <w:szCs w:val="20"/>
              </w:rPr>
              <w:t>. We have explained this point in Section 2 and included the corresponding extension in our future work.</w:t>
            </w:r>
          </w:p>
        </w:tc>
        <w:tc>
          <w:tcPr>
            <w:tcW w:w="5718"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7B47B447" w14:textId="77777777" w:rsidR="006B4B4C" w:rsidRDefault="00000000">
            <w:pPr>
              <w:spacing w:after="40"/>
            </w:pPr>
            <w:r>
              <w:rPr>
                <w:i/>
                <w:iCs/>
                <w:sz w:val="20"/>
                <w:szCs w:val="20"/>
              </w:rPr>
              <w:t>Section 2, last paragraph:</w:t>
            </w:r>
          </w:p>
          <w:p w14:paraId="08DC0574" w14:textId="77777777" w:rsidR="006B4B4C" w:rsidRDefault="00000000">
            <w:pPr>
              <w:spacing w:after="80"/>
            </w:pPr>
            <w:r>
              <w:rPr>
                <w:color w:val="FF0000"/>
                <w:sz w:val="20"/>
                <w:szCs w:val="20"/>
              </w:rPr>
              <w:t xml:space="preserve">Meanwhile, Eq. (1) does not include spin-orbit coupling of the </w:t>
            </w:r>
            <w:proofErr w:type="spellStart"/>
            <w:r>
              <w:rPr>
                <w:color w:val="FF0000"/>
                <w:sz w:val="20"/>
                <w:szCs w:val="20"/>
              </w:rPr>
              <w:t>Rashba</w:t>
            </w:r>
            <w:proofErr w:type="spellEnd"/>
            <w:r>
              <w:rPr>
                <w:color w:val="FF0000"/>
                <w:sz w:val="20"/>
                <w:szCs w:val="20"/>
              </w:rPr>
              <w:t xml:space="preserve"> or Dresselhaus type, although it governs spin relaxation, dephasing, and the electric control of spins. We omit it since the associated energy is typically small compared with the exchange and Zeeman energies in GaAs and Si double quantum dots [15]. In particular, its inclusion turns the singlet-triplet crossing into an </w:t>
            </w:r>
            <w:proofErr w:type="spellStart"/>
            <w:r>
              <w:rPr>
                <w:color w:val="FF0000"/>
                <w:sz w:val="20"/>
                <w:szCs w:val="20"/>
              </w:rPr>
              <w:t>anticrossing</w:t>
            </w:r>
            <w:proofErr w:type="spellEnd"/>
            <w:r>
              <w:rPr>
                <w:color w:val="FF0000"/>
                <w:sz w:val="20"/>
                <w:szCs w:val="20"/>
              </w:rPr>
              <w:t>. This extension is left for future work.</w:t>
            </w:r>
          </w:p>
          <w:p w14:paraId="7BC9D7C7" w14:textId="77777777" w:rsidR="006B4B4C" w:rsidRDefault="00000000">
            <w:pPr>
              <w:spacing w:after="40"/>
            </w:pPr>
            <w:r>
              <w:rPr>
                <w:i/>
                <w:iCs/>
                <w:sz w:val="20"/>
                <w:szCs w:val="20"/>
              </w:rPr>
              <w:t>Section 5, last paragraph:</w:t>
            </w:r>
          </w:p>
          <w:p w14:paraId="0967E6AE" w14:textId="77777777" w:rsidR="006B4B4C" w:rsidRDefault="00000000">
            <w:pPr>
              <w:spacing w:after="80"/>
            </w:pPr>
            <w:r>
              <w:rPr>
                <w:color w:val="FF0000"/>
                <w:sz w:val="20"/>
                <w:szCs w:val="20"/>
              </w:rPr>
              <w:t>…Our future work will extend the model to such multi-dot arrays [15], together with spin-orbit coupling.</w:t>
            </w:r>
          </w:p>
        </w:tc>
      </w:tr>
    </w:tbl>
    <w:p w14:paraId="6C7E2489" w14:textId="77777777" w:rsidR="006B4B4C" w:rsidRDefault="00000000">
      <w:pPr>
        <w:keepNext/>
        <w:spacing w:before="360" w:after="120"/>
      </w:pPr>
      <w:r>
        <w:rPr>
          <w:b/>
          <w:bCs/>
          <w:sz w:val="24"/>
          <w:szCs w:val="24"/>
        </w:rPr>
        <w:t>Reviewer #2</w:t>
      </w:r>
    </w:p>
    <w:tbl>
      <w:tblPr>
        <w:tblW w:w="14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0"/>
        <w:gridCol w:w="3350"/>
        <w:gridCol w:w="5050"/>
        <w:gridCol w:w="5718"/>
      </w:tblGrid>
      <w:tr w:rsidR="006B4B4C" w14:paraId="2A3C60C4" w14:textId="77777777" w:rsidTr="00C25D06">
        <w:tblPrEx>
          <w:tblCellMar>
            <w:top w:w="0" w:type="dxa"/>
            <w:bottom w:w="0" w:type="dxa"/>
          </w:tblCellMar>
        </w:tblPrEx>
        <w:trPr>
          <w:cantSplit/>
          <w:tblHeader/>
        </w:trPr>
        <w:tc>
          <w:tcPr>
            <w:tcW w:w="560"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80" w:type="dxa"/>
              <w:left w:w="100" w:type="dxa"/>
              <w:bottom w:w="60" w:type="dxa"/>
              <w:right w:w="100" w:type="dxa"/>
            </w:tcMar>
            <w:vAlign w:val="center"/>
          </w:tcPr>
          <w:p w14:paraId="3E4C94C7" w14:textId="77777777" w:rsidR="006B4B4C" w:rsidRDefault="00000000">
            <w:pPr>
              <w:jc w:val="center"/>
            </w:pPr>
            <w:r>
              <w:rPr>
                <w:b/>
                <w:bCs/>
                <w:sz w:val="20"/>
                <w:szCs w:val="20"/>
              </w:rPr>
              <w:t>No.</w:t>
            </w:r>
          </w:p>
        </w:tc>
        <w:tc>
          <w:tcPr>
            <w:tcW w:w="3350"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80" w:type="dxa"/>
              <w:left w:w="100" w:type="dxa"/>
              <w:bottom w:w="60" w:type="dxa"/>
              <w:right w:w="100" w:type="dxa"/>
            </w:tcMar>
            <w:vAlign w:val="center"/>
          </w:tcPr>
          <w:p w14:paraId="1AF47D9F" w14:textId="77777777" w:rsidR="006B4B4C" w:rsidRDefault="00000000">
            <w:pPr>
              <w:jc w:val="center"/>
            </w:pPr>
            <w:r>
              <w:rPr>
                <w:b/>
                <w:bCs/>
                <w:sz w:val="20"/>
                <w:szCs w:val="20"/>
              </w:rPr>
              <w:t>Reviewer's Comment</w:t>
            </w:r>
          </w:p>
        </w:tc>
        <w:tc>
          <w:tcPr>
            <w:tcW w:w="5050"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80" w:type="dxa"/>
              <w:left w:w="100" w:type="dxa"/>
              <w:bottom w:w="60" w:type="dxa"/>
              <w:right w:w="100" w:type="dxa"/>
            </w:tcMar>
            <w:vAlign w:val="center"/>
          </w:tcPr>
          <w:p w14:paraId="308402BF" w14:textId="0979E3FA" w:rsidR="006B4B4C" w:rsidRDefault="00C25D06">
            <w:pPr>
              <w:jc w:val="center"/>
            </w:pPr>
            <w:r>
              <w:rPr>
                <w:b/>
                <w:bCs/>
                <w:sz w:val="20"/>
                <w:szCs w:val="20"/>
              </w:rPr>
              <w:t>Our</w:t>
            </w:r>
            <w:r w:rsidR="00000000">
              <w:rPr>
                <w:b/>
                <w:bCs/>
                <w:sz w:val="20"/>
                <w:szCs w:val="20"/>
              </w:rPr>
              <w:t xml:space="preserve"> Response</w:t>
            </w:r>
          </w:p>
        </w:tc>
        <w:tc>
          <w:tcPr>
            <w:tcW w:w="5718" w:type="dxa"/>
            <w:tcBorders>
              <w:top w:val="single" w:sz="4" w:space="0" w:color="808080"/>
              <w:left w:val="single" w:sz="4" w:space="0" w:color="808080"/>
              <w:bottom w:val="single" w:sz="4" w:space="0" w:color="808080"/>
              <w:right w:val="single" w:sz="4" w:space="0" w:color="808080"/>
            </w:tcBorders>
            <w:shd w:val="clear" w:color="auto" w:fill="FFFFFF" w:themeFill="background1"/>
            <w:tcMar>
              <w:top w:w="80" w:type="dxa"/>
              <w:left w:w="100" w:type="dxa"/>
              <w:bottom w:w="60" w:type="dxa"/>
              <w:right w:w="100" w:type="dxa"/>
            </w:tcMar>
            <w:vAlign w:val="center"/>
          </w:tcPr>
          <w:p w14:paraId="536A25E3" w14:textId="77777777" w:rsidR="006B4B4C" w:rsidRDefault="00000000">
            <w:pPr>
              <w:jc w:val="center"/>
            </w:pPr>
            <w:r>
              <w:rPr>
                <w:b/>
                <w:bCs/>
                <w:sz w:val="20"/>
                <w:szCs w:val="20"/>
              </w:rPr>
              <w:t>Revision in the Manuscript</w:t>
            </w:r>
          </w:p>
        </w:tc>
      </w:tr>
      <w:tr w:rsidR="006B4B4C" w14:paraId="5B858D6A" w14:textId="77777777">
        <w:tblPrEx>
          <w:tblCellMar>
            <w:top w:w="0" w:type="dxa"/>
            <w:bottom w:w="0" w:type="dxa"/>
          </w:tblCellMar>
        </w:tblPrEx>
        <w:trPr>
          <w:cantSplit/>
        </w:trPr>
        <w:tc>
          <w:tcPr>
            <w:tcW w:w="56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6958F6DF" w14:textId="77777777" w:rsidR="006B4B4C" w:rsidRDefault="00000000">
            <w:pPr>
              <w:spacing w:after="80"/>
              <w:jc w:val="center"/>
            </w:pPr>
            <w:r>
              <w:rPr>
                <w:sz w:val="20"/>
                <w:szCs w:val="20"/>
              </w:rPr>
              <w:t>–</w:t>
            </w:r>
          </w:p>
        </w:tc>
        <w:tc>
          <w:tcPr>
            <w:tcW w:w="33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1503C7A5" w14:textId="77777777" w:rsidR="006B4B4C" w:rsidRDefault="00000000">
            <w:pPr>
              <w:spacing w:after="80"/>
            </w:pPr>
            <w:r>
              <w:rPr>
                <w:i/>
                <w:iCs/>
                <w:sz w:val="20"/>
                <w:szCs w:val="20"/>
              </w:rPr>
              <w:t xml:space="preserve">The manuscript presents an interesting analytical study of spin dynamics in a double quantum dot (DQD). The basic physical picture is clear: two confined electron spins interact through exchange interaction, while an external magnetic field produces Zeeman splitting of the triplet states. The resulting singlet-triplet energy structure is relevant to semiconductor spin-qubit and </w:t>
            </w:r>
            <w:proofErr w:type="spellStart"/>
            <w:r>
              <w:rPr>
                <w:i/>
                <w:iCs/>
                <w:sz w:val="20"/>
                <w:szCs w:val="20"/>
              </w:rPr>
              <w:t>nanoelectronic</w:t>
            </w:r>
            <w:proofErr w:type="spellEnd"/>
            <w:r>
              <w:rPr>
                <w:i/>
                <w:iCs/>
                <w:sz w:val="20"/>
                <w:szCs w:val="20"/>
              </w:rPr>
              <w:t xml:space="preserve"> applications. The manuscript also provides analytical expressions for the energy eigenvalues and corresponding spin states. However, several aspects should be clarified.</w:t>
            </w:r>
          </w:p>
        </w:tc>
        <w:tc>
          <w:tcPr>
            <w:tcW w:w="50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4D0EB75E" w14:textId="77777777" w:rsidR="006B4B4C" w:rsidRDefault="00000000">
            <w:pPr>
              <w:spacing w:after="80"/>
            </w:pPr>
            <w:r>
              <w:rPr>
                <w:sz w:val="20"/>
                <w:szCs w:val="20"/>
              </w:rPr>
              <w:t>We thank the reviewer for the positive assessment of the physical picture and of its relevance to semiconductor spin qubits. The three points raised by the reviewer are addressed below.</w:t>
            </w:r>
          </w:p>
        </w:tc>
        <w:tc>
          <w:tcPr>
            <w:tcW w:w="5718"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489D745A" w14:textId="77777777" w:rsidR="006B4B4C" w:rsidRDefault="00000000">
            <w:pPr>
              <w:spacing w:after="40"/>
            </w:pPr>
            <w:r>
              <w:rPr>
                <w:i/>
                <w:iCs/>
                <w:sz w:val="20"/>
                <w:szCs w:val="20"/>
              </w:rPr>
              <w:t>–</w:t>
            </w:r>
          </w:p>
        </w:tc>
      </w:tr>
      <w:tr w:rsidR="006B4B4C" w14:paraId="0D05768D" w14:textId="77777777">
        <w:tblPrEx>
          <w:tblCellMar>
            <w:top w:w="0" w:type="dxa"/>
            <w:bottom w:w="0" w:type="dxa"/>
          </w:tblCellMar>
        </w:tblPrEx>
        <w:trPr>
          <w:cantSplit/>
        </w:trPr>
        <w:tc>
          <w:tcPr>
            <w:tcW w:w="56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2D8F0ADA" w14:textId="77777777" w:rsidR="006B4B4C" w:rsidRDefault="00000000">
            <w:pPr>
              <w:spacing w:after="80"/>
              <w:jc w:val="center"/>
            </w:pPr>
            <w:r>
              <w:rPr>
                <w:sz w:val="20"/>
                <w:szCs w:val="20"/>
              </w:rPr>
              <w:t>1</w:t>
            </w:r>
          </w:p>
        </w:tc>
        <w:tc>
          <w:tcPr>
            <w:tcW w:w="33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63A023E3" w14:textId="77777777" w:rsidR="006B4B4C" w:rsidRDefault="00000000">
            <w:pPr>
              <w:spacing w:after="80"/>
            </w:pPr>
            <w:r>
              <w:rPr>
                <w:i/>
                <w:iCs/>
                <w:sz w:val="20"/>
                <w:szCs w:val="20"/>
              </w:rPr>
              <w:t>The authors should explain more clearly the physical assumptions and limitations of the model, particularly since the present analysis mainly considers the spin sector, while the spatial/orbital contribution is not explicitly developed and is left for future work.</w:t>
            </w:r>
          </w:p>
        </w:tc>
        <w:tc>
          <w:tcPr>
            <w:tcW w:w="50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118D9B60" w14:textId="77777777" w:rsidR="006B4B4C" w:rsidRDefault="00000000">
            <w:pPr>
              <w:spacing w:after="80"/>
            </w:pPr>
            <w:r>
              <w:rPr>
                <w:sz w:val="20"/>
                <w:szCs w:val="20"/>
              </w:rPr>
              <w:t>We have added a paragraph that states the assumptions of the model explicitly, namely: each electron occupies the orbital ground state of its own dot, the magnetic field is static, and both the spin-orbit coupling and the dynamics of the nuclear spins are neglected. Under these assumptions, the model holds as long as the exchange and Zeeman energies remain small compared with the orbital level spacing and the charging energy. Note that it does not describe the doubly occupied charge state, the orbital excitations, and the spin relaxation, which require an explicit solution of the spatial sector.</w:t>
            </w:r>
          </w:p>
        </w:tc>
        <w:tc>
          <w:tcPr>
            <w:tcW w:w="5718"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008E7889" w14:textId="77777777" w:rsidR="006B4B4C" w:rsidRDefault="00000000">
            <w:pPr>
              <w:spacing w:after="40"/>
            </w:pPr>
            <w:r>
              <w:rPr>
                <w:i/>
                <w:iCs/>
                <w:sz w:val="20"/>
                <w:szCs w:val="20"/>
              </w:rPr>
              <w:t>Section 4, sixth paragraph after Eq. (14) (new):</w:t>
            </w:r>
          </w:p>
          <w:p w14:paraId="74B2DE42" w14:textId="77777777" w:rsidR="006B4B4C" w:rsidRDefault="00000000">
            <w:pPr>
              <w:spacing w:after="80"/>
            </w:pPr>
            <w:r>
              <w:rPr>
                <w:color w:val="0000FF"/>
                <w:sz w:val="20"/>
                <w:szCs w:val="20"/>
              </w:rPr>
              <w:t>We emphasize that the present model rests on three assumptions, namely: each electron occupies the orbital ground state of its own dot, the magnetic field is static, and both the spin-orbit coupling and the dynamics of the nuclear spins are neglected. Under these assumptions, the model holds as long as the exchange and Zeeman energies remain small compared with the orbital level spacing and the charging energy. However, it does not describe the doubly occupied charge state, the orbital excitations, and the spin relaxation induced by the environment. These effects require an explicit solution of the spatial sector, and the corresponding extension is left for future work.</w:t>
            </w:r>
          </w:p>
        </w:tc>
      </w:tr>
      <w:tr w:rsidR="006B4B4C" w14:paraId="6A860ADE" w14:textId="77777777">
        <w:tblPrEx>
          <w:tblCellMar>
            <w:top w:w="0" w:type="dxa"/>
            <w:bottom w:w="0" w:type="dxa"/>
          </w:tblCellMar>
        </w:tblPrEx>
        <w:trPr>
          <w:cantSplit/>
        </w:trPr>
        <w:tc>
          <w:tcPr>
            <w:tcW w:w="56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25A1C5E2" w14:textId="77777777" w:rsidR="006B4B4C" w:rsidRDefault="00000000">
            <w:pPr>
              <w:spacing w:after="80"/>
              <w:jc w:val="center"/>
            </w:pPr>
            <w:r>
              <w:rPr>
                <w:sz w:val="20"/>
                <w:szCs w:val="20"/>
              </w:rPr>
              <w:t>2</w:t>
            </w:r>
          </w:p>
        </w:tc>
        <w:tc>
          <w:tcPr>
            <w:tcW w:w="33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4A312D97" w14:textId="77777777" w:rsidR="006B4B4C" w:rsidRDefault="00000000">
            <w:pPr>
              <w:spacing w:after="80"/>
            </w:pPr>
            <w:r>
              <w:rPr>
                <w:i/>
                <w:iCs/>
                <w:sz w:val="20"/>
                <w:szCs w:val="20"/>
              </w:rPr>
              <w:t>The physical meaning of the exchange coupling and its relationship to realistic DQD parameters should be discussed more clearly. The authors should also clarify the conditions under which the Zeeman-split triplet state can approach or become degenerate with the singlet state.</w:t>
            </w:r>
          </w:p>
        </w:tc>
        <w:tc>
          <w:tcPr>
            <w:tcW w:w="50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5BAEE66D" w14:textId="77777777" w:rsidR="006B4B4C" w:rsidRDefault="00000000">
            <w:pPr>
              <w:spacing w:after="80"/>
            </w:pPr>
            <w:r>
              <w:rPr>
                <w:sz w:val="20"/>
                <w:szCs w:val="20"/>
              </w:rPr>
              <w:t xml:space="preserve">First, we have explained the physical origin of the exchange coupling. It originates from the virtual interdot </w:t>
            </w:r>
            <w:proofErr w:type="spellStart"/>
            <w:r>
              <w:rPr>
                <w:sz w:val="20"/>
                <w:szCs w:val="20"/>
              </w:rPr>
              <w:t>tunneling</w:t>
            </w:r>
            <w:proofErr w:type="spellEnd"/>
            <w:r>
              <w:rPr>
                <w:sz w:val="20"/>
                <w:szCs w:val="20"/>
              </w:rPr>
              <w:t xml:space="preserve">, which is allowed for the singlet but blocked by the Pauli exclusion principle for the triplet, such that its strength is set by the interdot tunnel coupling and the detuning controlled by the gate voltages [15]. We have also related the effective Zeeman charges to the effective g-factors of the dots. Second, based on </w:t>
            </w:r>
            <w:proofErr w:type="spellStart"/>
            <w:r>
              <w:rPr>
                <w:sz w:val="20"/>
                <w:szCs w:val="20"/>
              </w:rPr>
              <w:t>Eqs</w:t>
            </w:r>
            <w:proofErr w:type="spellEnd"/>
            <w:r>
              <w:rPr>
                <w:sz w:val="20"/>
                <w:szCs w:val="20"/>
              </w:rPr>
              <w:t>. (8) and (11), the singlet is separated from the unpolarized triplet by 4|</w:t>
            </w:r>
            <w:r>
              <w:rPr>
                <w:i/>
                <w:iCs/>
                <w:sz w:val="20"/>
                <w:szCs w:val="20"/>
              </w:rPr>
              <w:t>J</w:t>
            </w:r>
            <w:r>
              <w:rPr>
                <w:sz w:val="20"/>
                <w:szCs w:val="20"/>
              </w:rPr>
              <w:t>|. As the field increases, one triplet branch approaches the singlet and becomes degenerate with it when the Zeeman energy equals this splitting. For GaAs double quantum dots, this occurs for a splitting of about 5×10</w:t>
            </w:r>
            <w:r>
              <w:rPr>
                <w:sz w:val="20"/>
                <w:szCs w:val="20"/>
                <w:vertAlign w:val="superscript"/>
              </w:rPr>
              <w:t>−6</w:t>
            </w:r>
            <w:r>
              <w:rPr>
                <w:sz w:val="20"/>
                <w:szCs w:val="20"/>
              </w:rPr>
              <w:t xml:space="preserve"> eV at 0.2 T, in agreement with the measurement in ref. [18].</w:t>
            </w:r>
          </w:p>
        </w:tc>
        <w:tc>
          <w:tcPr>
            <w:tcW w:w="5718"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5FCAC501" w14:textId="77777777" w:rsidR="006B4B4C" w:rsidRDefault="00000000">
            <w:pPr>
              <w:spacing w:after="40"/>
            </w:pPr>
            <w:r>
              <w:rPr>
                <w:i/>
                <w:iCs/>
                <w:sz w:val="20"/>
                <w:szCs w:val="20"/>
              </w:rPr>
              <w:t>Section 4, paragraph following Eq. (5):</w:t>
            </w:r>
          </w:p>
          <w:p w14:paraId="00F4964D" w14:textId="77777777" w:rsidR="006B4B4C" w:rsidRDefault="00000000">
            <w:pPr>
              <w:spacing w:after="80"/>
            </w:pPr>
            <w:r>
              <w:rPr>
                <w:color w:val="0000FF"/>
                <w:sz w:val="20"/>
                <w:szCs w:val="20"/>
              </w:rPr>
              <w:t xml:space="preserve">In terms of the effective g-factors </w:t>
            </w:r>
            <w:r>
              <w:rPr>
                <w:i/>
                <w:iCs/>
                <w:color w:val="0000FF"/>
                <w:sz w:val="20"/>
                <w:szCs w:val="20"/>
              </w:rPr>
              <w:t>g</w:t>
            </w:r>
            <w:r>
              <w:rPr>
                <w:color w:val="0000FF"/>
                <w:sz w:val="20"/>
                <w:szCs w:val="20"/>
                <w:vertAlign w:val="subscript"/>
              </w:rPr>
              <w:t>1</w:t>
            </w:r>
            <w:r>
              <w:rPr>
                <w:color w:val="0000FF"/>
                <w:sz w:val="20"/>
                <w:szCs w:val="20"/>
              </w:rPr>
              <w:t xml:space="preserve"> and </w:t>
            </w:r>
            <w:r>
              <w:rPr>
                <w:i/>
                <w:iCs/>
                <w:color w:val="0000FF"/>
                <w:sz w:val="20"/>
                <w:szCs w:val="20"/>
              </w:rPr>
              <w:t>g</w:t>
            </w:r>
            <w:r>
              <w:rPr>
                <w:color w:val="0000FF"/>
                <w:sz w:val="20"/>
                <w:szCs w:val="20"/>
                <w:vertAlign w:val="subscript"/>
              </w:rPr>
              <w:t>2</w:t>
            </w:r>
            <w:r>
              <w:rPr>
                <w:color w:val="0000FF"/>
                <w:sz w:val="20"/>
                <w:szCs w:val="20"/>
              </w:rPr>
              <w:t xml:space="preserve"> of the two dots, we define the effective Zeeman charges through </w:t>
            </w:r>
            <w:proofErr w:type="spellStart"/>
            <w:r>
              <w:rPr>
                <w:i/>
                <w:iCs/>
                <w:color w:val="0000FF"/>
                <w:sz w:val="20"/>
                <w:szCs w:val="20"/>
              </w:rPr>
              <w:t>ħq</w:t>
            </w:r>
            <w:r>
              <w:rPr>
                <w:i/>
                <w:iCs/>
                <w:color w:val="0000FF"/>
                <w:sz w:val="20"/>
                <w:szCs w:val="20"/>
                <w:vertAlign w:val="subscript"/>
              </w:rPr>
              <w:t>i</w:t>
            </w:r>
            <w:proofErr w:type="spellEnd"/>
            <w:r>
              <w:rPr>
                <w:color w:val="0000FF"/>
                <w:sz w:val="20"/>
                <w:szCs w:val="20"/>
              </w:rPr>
              <w:t>/2</w:t>
            </w:r>
            <w:r>
              <w:rPr>
                <w:i/>
                <w:iCs/>
                <w:color w:val="0000FF"/>
                <w:sz w:val="20"/>
                <w:szCs w:val="20"/>
              </w:rPr>
              <w:t>m</w:t>
            </w:r>
            <w:r>
              <w:rPr>
                <w:color w:val="0000FF"/>
                <w:sz w:val="20"/>
                <w:szCs w:val="20"/>
              </w:rPr>
              <w:t xml:space="preserve"> = −</w:t>
            </w:r>
            <w:proofErr w:type="spellStart"/>
            <w:r>
              <w:rPr>
                <w:i/>
                <w:iCs/>
                <w:color w:val="0000FF"/>
                <w:sz w:val="20"/>
                <w:szCs w:val="20"/>
              </w:rPr>
              <w:t>g</w:t>
            </w:r>
            <w:r>
              <w:rPr>
                <w:i/>
                <w:iCs/>
                <w:color w:val="0000FF"/>
                <w:sz w:val="20"/>
                <w:szCs w:val="20"/>
                <w:vertAlign w:val="subscript"/>
              </w:rPr>
              <w:t>i</w:t>
            </w:r>
            <w:r>
              <w:rPr>
                <w:i/>
                <w:iCs/>
                <w:color w:val="0000FF"/>
                <w:sz w:val="20"/>
                <w:szCs w:val="20"/>
              </w:rPr>
              <w:t>μ</w:t>
            </w:r>
            <w:r>
              <w:rPr>
                <w:color w:val="0000FF"/>
                <w:sz w:val="20"/>
                <w:szCs w:val="20"/>
                <w:vertAlign w:val="subscript"/>
              </w:rPr>
              <w:t>B</w:t>
            </w:r>
            <w:proofErr w:type="spellEnd"/>
            <w:r>
              <w:rPr>
                <w:color w:val="0000FF"/>
                <w:sz w:val="20"/>
                <w:szCs w:val="20"/>
              </w:rPr>
              <w:t xml:space="preserve">/2 with </w:t>
            </w:r>
            <w:proofErr w:type="spellStart"/>
            <w:r>
              <w:rPr>
                <w:i/>
                <w:iCs/>
                <w:color w:val="0000FF"/>
                <w:sz w:val="20"/>
                <w:szCs w:val="20"/>
              </w:rPr>
              <w:t>i</w:t>
            </w:r>
            <w:proofErr w:type="spellEnd"/>
            <w:r>
              <w:rPr>
                <w:color w:val="0000FF"/>
                <w:sz w:val="20"/>
                <w:szCs w:val="20"/>
              </w:rPr>
              <w:t xml:space="preserve"> = 1, 2, where </w:t>
            </w:r>
            <w:proofErr w:type="spellStart"/>
            <w:r>
              <w:rPr>
                <w:i/>
                <w:iCs/>
                <w:color w:val="0000FF"/>
                <w:sz w:val="20"/>
                <w:szCs w:val="20"/>
              </w:rPr>
              <w:t>μ</w:t>
            </w:r>
            <w:r>
              <w:rPr>
                <w:color w:val="0000FF"/>
                <w:sz w:val="20"/>
                <w:szCs w:val="20"/>
                <w:vertAlign w:val="subscript"/>
              </w:rPr>
              <w:t>B</w:t>
            </w:r>
            <w:proofErr w:type="spellEnd"/>
            <w:r>
              <w:rPr>
                <w:color w:val="0000FF"/>
                <w:sz w:val="20"/>
                <w:szCs w:val="20"/>
              </w:rPr>
              <w:t xml:space="preserve"> denotes the Bohr magneton. […] Physically, this coupling originates from the virtual interdot </w:t>
            </w:r>
            <w:proofErr w:type="spellStart"/>
            <w:r>
              <w:rPr>
                <w:color w:val="0000FF"/>
                <w:sz w:val="20"/>
                <w:szCs w:val="20"/>
              </w:rPr>
              <w:t>tunneling</w:t>
            </w:r>
            <w:proofErr w:type="spellEnd"/>
            <w:r>
              <w:rPr>
                <w:color w:val="0000FF"/>
                <w:sz w:val="20"/>
                <w:szCs w:val="20"/>
              </w:rPr>
              <w:t>, which is allowed for the singlet but blocked by the Pauli exclusion principle for the triplet. Its strength is therefore set by the interdot tunnel coupling and the detuning between the dots, and it can be tuned by the gate voltages over many orders of magnitude [15].</w:t>
            </w:r>
          </w:p>
          <w:p w14:paraId="4236C0C5" w14:textId="77777777" w:rsidR="006B4B4C" w:rsidRDefault="00000000">
            <w:pPr>
              <w:spacing w:after="40"/>
            </w:pPr>
            <w:r>
              <w:rPr>
                <w:i/>
                <w:iCs/>
                <w:sz w:val="20"/>
                <w:szCs w:val="20"/>
              </w:rPr>
              <w:t>Section 4, end of the third paragraph after Eq. (14):</w:t>
            </w:r>
          </w:p>
          <w:p w14:paraId="498E1345" w14:textId="77777777" w:rsidR="006B4B4C" w:rsidRDefault="00000000">
            <w:pPr>
              <w:spacing w:after="80"/>
            </w:pPr>
            <w:r>
              <w:rPr>
                <w:color w:val="0000FF"/>
                <w:sz w:val="20"/>
                <w:szCs w:val="20"/>
              </w:rPr>
              <w:t xml:space="preserve">Based on </w:t>
            </w:r>
            <w:proofErr w:type="spellStart"/>
            <w:r>
              <w:rPr>
                <w:color w:val="0000FF"/>
                <w:sz w:val="20"/>
                <w:szCs w:val="20"/>
              </w:rPr>
              <w:t>Eqs</w:t>
            </w:r>
            <w:proofErr w:type="spellEnd"/>
            <w:r>
              <w:rPr>
                <w:color w:val="0000FF"/>
                <w:sz w:val="20"/>
                <w:szCs w:val="20"/>
              </w:rPr>
              <w:t>. (8) and (11), the singlet is separated from the unpolarized triplet by 4|</w:t>
            </w:r>
            <w:r>
              <w:rPr>
                <w:i/>
                <w:iCs/>
                <w:color w:val="0000FF"/>
                <w:sz w:val="20"/>
                <w:szCs w:val="20"/>
              </w:rPr>
              <w:t>J</w:t>
            </w:r>
            <w:r>
              <w:rPr>
                <w:color w:val="0000FF"/>
                <w:sz w:val="20"/>
                <w:szCs w:val="20"/>
              </w:rPr>
              <w:t xml:space="preserve">|. It is readily seen that the coincidence occurs at </w:t>
            </w:r>
            <w:r>
              <w:rPr>
                <w:i/>
                <w:iCs/>
                <w:color w:val="0000FF"/>
                <w:sz w:val="20"/>
                <w:szCs w:val="20"/>
              </w:rPr>
              <w:t>ħB</w:t>
            </w:r>
            <w:r>
              <w:rPr>
                <w:color w:val="0000FF"/>
                <w:sz w:val="20"/>
                <w:szCs w:val="20"/>
                <w:vertAlign w:val="subscript"/>
              </w:rPr>
              <w:t>0</w:t>
            </w:r>
            <w:r>
              <w:rPr>
                <w:color w:val="0000FF"/>
                <w:sz w:val="20"/>
                <w:szCs w:val="20"/>
              </w:rPr>
              <w:t>|</w:t>
            </w:r>
            <w:r>
              <w:rPr>
                <w:i/>
                <w:iCs/>
                <w:color w:val="0000FF"/>
                <w:sz w:val="20"/>
                <w:szCs w:val="20"/>
              </w:rPr>
              <w:t>q</w:t>
            </w:r>
            <w:r>
              <w:rPr>
                <w:color w:val="0000FF"/>
                <w:sz w:val="20"/>
                <w:szCs w:val="20"/>
                <w:vertAlign w:val="subscript"/>
              </w:rPr>
              <w:t>+</w:t>
            </w:r>
            <w:r>
              <w:rPr>
                <w:color w:val="0000FF"/>
                <w:sz w:val="20"/>
                <w:szCs w:val="20"/>
              </w:rPr>
              <w:t>|/2</w:t>
            </w:r>
            <w:r>
              <w:rPr>
                <w:i/>
                <w:iCs/>
                <w:color w:val="0000FF"/>
                <w:sz w:val="20"/>
                <w:szCs w:val="20"/>
              </w:rPr>
              <w:t>m</w:t>
            </w:r>
            <w:r>
              <w:rPr>
                <w:color w:val="0000FF"/>
                <w:sz w:val="20"/>
                <w:szCs w:val="20"/>
              </w:rPr>
              <w:t xml:space="preserve"> = 4|</w:t>
            </w:r>
            <w:r>
              <w:rPr>
                <w:i/>
                <w:iCs/>
                <w:color w:val="0000FF"/>
                <w:sz w:val="20"/>
                <w:szCs w:val="20"/>
              </w:rPr>
              <w:t>J</w:t>
            </w:r>
            <w:r>
              <w:rPr>
                <w:color w:val="0000FF"/>
                <w:sz w:val="20"/>
                <w:szCs w:val="20"/>
              </w:rPr>
              <w:t xml:space="preserve">|, namely when the Zeeman energy equals the corresponding splitting. Note that the crossing is exact, since the two states belong to different blocks. For GaAs double quantum dots with </w:t>
            </w:r>
            <w:r>
              <w:rPr>
                <w:i/>
                <w:iCs/>
                <w:color w:val="0000FF"/>
                <w:sz w:val="20"/>
                <w:szCs w:val="20"/>
              </w:rPr>
              <w:t>g</w:t>
            </w:r>
            <w:r>
              <w:rPr>
                <w:color w:val="0000FF"/>
                <w:sz w:val="20"/>
                <w:szCs w:val="20"/>
              </w:rPr>
              <w:t xml:space="preserve"> = −0.44, the Zeeman energy is about 25×10</w:t>
            </w:r>
            <w:r>
              <w:rPr>
                <w:color w:val="0000FF"/>
                <w:sz w:val="20"/>
                <w:szCs w:val="20"/>
                <w:vertAlign w:val="superscript"/>
              </w:rPr>
              <w:t>−6</w:t>
            </w:r>
            <w:r>
              <w:rPr>
                <w:color w:val="0000FF"/>
                <w:sz w:val="20"/>
                <w:szCs w:val="20"/>
              </w:rPr>
              <w:t xml:space="preserve"> eV/T, such that a splitting of about 5×10</w:t>
            </w:r>
            <w:r>
              <w:rPr>
                <w:color w:val="0000FF"/>
                <w:sz w:val="20"/>
                <w:szCs w:val="20"/>
                <w:vertAlign w:val="superscript"/>
              </w:rPr>
              <w:t>−6</w:t>
            </w:r>
            <w:r>
              <w:rPr>
                <w:color w:val="0000FF"/>
                <w:sz w:val="20"/>
                <w:szCs w:val="20"/>
              </w:rPr>
              <w:t xml:space="preserve"> eV is compensated at 0.2 T [18].</w:t>
            </w:r>
          </w:p>
        </w:tc>
      </w:tr>
      <w:tr w:rsidR="006B4B4C" w14:paraId="3CE09B3C" w14:textId="77777777">
        <w:tblPrEx>
          <w:tblCellMar>
            <w:top w:w="0" w:type="dxa"/>
            <w:bottom w:w="0" w:type="dxa"/>
          </w:tblCellMar>
        </w:tblPrEx>
        <w:trPr>
          <w:cantSplit/>
        </w:trPr>
        <w:tc>
          <w:tcPr>
            <w:tcW w:w="56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335BC775" w14:textId="77777777" w:rsidR="006B4B4C" w:rsidRDefault="00000000">
            <w:pPr>
              <w:spacing w:after="80"/>
              <w:jc w:val="center"/>
            </w:pPr>
            <w:r>
              <w:rPr>
                <w:sz w:val="20"/>
                <w:szCs w:val="20"/>
              </w:rPr>
              <w:t>3</w:t>
            </w:r>
          </w:p>
        </w:tc>
        <w:tc>
          <w:tcPr>
            <w:tcW w:w="33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62FFA10E" w14:textId="77777777" w:rsidR="006B4B4C" w:rsidRDefault="00000000">
            <w:pPr>
              <w:spacing w:after="80"/>
            </w:pPr>
            <w:r>
              <w:rPr>
                <w:i/>
                <w:iCs/>
                <w:sz w:val="20"/>
                <w:szCs w:val="20"/>
              </w:rPr>
              <w:t>The manuscript would benefit from clearer definitions of the physical parameters, improved explanation of the singlet-triplet energy structure, and minor improvements in notation and English presentation.</w:t>
            </w:r>
          </w:p>
        </w:tc>
        <w:tc>
          <w:tcPr>
            <w:tcW w:w="5050"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03D26FDB" w14:textId="77777777" w:rsidR="006B4B4C" w:rsidRDefault="00000000">
            <w:pPr>
              <w:spacing w:after="80"/>
            </w:pPr>
            <w:r>
              <w:rPr>
                <w:sz w:val="20"/>
                <w:szCs w:val="20"/>
              </w:rPr>
              <w:t xml:space="preserve">We have revised the manuscript in four respects, namely: the definitions of the physical parameters, the description of the block structure, the notation, and the English presentation. The charge </w:t>
            </w:r>
            <w:r>
              <w:rPr>
                <w:i/>
                <w:iCs/>
                <w:sz w:val="20"/>
                <w:szCs w:val="20"/>
              </w:rPr>
              <w:t>q</w:t>
            </w:r>
            <w:r>
              <w:rPr>
                <w:sz w:val="20"/>
                <w:szCs w:val="20"/>
              </w:rPr>
              <w:t xml:space="preserve">, the mass </w:t>
            </w:r>
            <w:r>
              <w:rPr>
                <w:i/>
                <w:iCs/>
                <w:sz w:val="20"/>
                <w:szCs w:val="20"/>
              </w:rPr>
              <w:t>m</w:t>
            </w:r>
            <w:r>
              <w:rPr>
                <w:sz w:val="20"/>
                <w:szCs w:val="20"/>
              </w:rPr>
              <w:t xml:space="preserve">, the Coulomb constant </w:t>
            </w:r>
            <w:r>
              <w:rPr>
                <w:i/>
                <w:iCs/>
                <w:sz w:val="20"/>
                <w:szCs w:val="20"/>
              </w:rPr>
              <w:t>k</w:t>
            </w:r>
            <w:r>
              <w:rPr>
                <w:sz w:val="20"/>
                <w:szCs w:val="20"/>
              </w:rPr>
              <w:t>, and the effective Zeeman charges are now defined in the text. The two-dimensional block is now described correctly as containing both the singlet and the unpolarized triplet state. Together with the splitting 4|</w:t>
            </w:r>
            <w:r>
              <w:rPr>
                <w:i/>
                <w:iCs/>
                <w:sz w:val="20"/>
                <w:szCs w:val="20"/>
              </w:rPr>
              <w:t>J</w:t>
            </w:r>
            <w:r>
              <w:rPr>
                <w:sz w:val="20"/>
                <w:szCs w:val="20"/>
              </w:rPr>
              <w:t>| given in our response to Comment 2, this clarifies the singlet-triplet energy structure. In the meantime, we have checked the notation and the signs throughout the manuscript, and the related equations have been corrected accordingly.</w:t>
            </w:r>
          </w:p>
        </w:tc>
        <w:tc>
          <w:tcPr>
            <w:tcW w:w="5718" w:type="dxa"/>
            <w:tcBorders>
              <w:top w:val="single" w:sz="4" w:space="0" w:color="808080"/>
              <w:left w:val="single" w:sz="4" w:space="0" w:color="808080"/>
              <w:bottom w:val="single" w:sz="4" w:space="0" w:color="808080"/>
              <w:right w:val="single" w:sz="4" w:space="0" w:color="808080"/>
            </w:tcBorders>
            <w:tcMar>
              <w:top w:w="80" w:type="dxa"/>
              <w:left w:w="100" w:type="dxa"/>
              <w:bottom w:w="60" w:type="dxa"/>
              <w:right w:w="100" w:type="dxa"/>
            </w:tcMar>
          </w:tcPr>
          <w:p w14:paraId="3B19C8E6" w14:textId="77777777" w:rsidR="006B4B4C" w:rsidRDefault="00000000">
            <w:pPr>
              <w:spacing w:after="40"/>
            </w:pPr>
            <w:r>
              <w:rPr>
                <w:i/>
                <w:iCs/>
                <w:sz w:val="20"/>
                <w:szCs w:val="20"/>
              </w:rPr>
              <w:t>Section 2, paragraph following Eq. (1):</w:t>
            </w:r>
          </w:p>
          <w:p w14:paraId="673CFD10" w14:textId="77777777" w:rsidR="006B4B4C" w:rsidRDefault="00000000">
            <w:pPr>
              <w:spacing w:after="80"/>
            </w:pPr>
            <w:r>
              <w:rPr>
                <w:color w:val="0000FF"/>
                <w:sz w:val="20"/>
                <w:szCs w:val="20"/>
              </w:rPr>
              <w:t xml:space="preserve">The charge and the mass of the particle are denoted by </w:t>
            </w:r>
            <w:r>
              <w:rPr>
                <w:i/>
                <w:iCs/>
                <w:color w:val="0000FF"/>
                <w:sz w:val="20"/>
                <w:szCs w:val="20"/>
              </w:rPr>
              <w:t>q</w:t>
            </w:r>
            <w:r>
              <w:rPr>
                <w:color w:val="0000FF"/>
                <w:sz w:val="20"/>
                <w:szCs w:val="20"/>
              </w:rPr>
              <w:t xml:space="preserve"> and </w:t>
            </w:r>
            <w:r>
              <w:rPr>
                <w:i/>
                <w:iCs/>
                <w:color w:val="0000FF"/>
                <w:sz w:val="20"/>
                <w:szCs w:val="20"/>
              </w:rPr>
              <w:t>m</w:t>
            </w:r>
            <w:r>
              <w:rPr>
                <w:color w:val="0000FF"/>
                <w:sz w:val="20"/>
                <w:szCs w:val="20"/>
              </w:rPr>
              <w:t>.</w:t>
            </w:r>
          </w:p>
          <w:p w14:paraId="29C54307" w14:textId="77777777" w:rsidR="006B4B4C" w:rsidRDefault="00000000">
            <w:pPr>
              <w:spacing w:after="40"/>
            </w:pPr>
            <w:r>
              <w:rPr>
                <w:i/>
                <w:iCs/>
                <w:sz w:val="20"/>
                <w:szCs w:val="20"/>
              </w:rPr>
              <w:t>Section 4, paragraph following Eq. (5):</w:t>
            </w:r>
          </w:p>
          <w:p w14:paraId="0FA932D2" w14:textId="77777777" w:rsidR="006B4B4C" w:rsidRDefault="00000000">
            <w:pPr>
              <w:spacing w:after="80"/>
            </w:pPr>
            <w:r>
              <w:rPr>
                <w:color w:val="0000FF"/>
                <w:sz w:val="20"/>
                <w:szCs w:val="20"/>
              </w:rPr>
              <w:t xml:space="preserve">…the Coulomb interaction between the two charges, where </w:t>
            </w:r>
            <w:r>
              <w:rPr>
                <w:i/>
                <w:iCs/>
                <w:color w:val="0000FF"/>
                <w:sz w:val="20"/>
                <w:szCs w:val="20"/>
              </w:rPr>
              <w:t>k</w:t>
            </w:r>
            <w:r>
              <w:rPr>
                <w:color w:val="0000FF"/>
                <w:sz w:val="20"/>
                <w:szCs w:val="20"/>
              </w:rPr>
              <w:t xml:space="preserve"> denotes the Coulomb constant…</w:t>
            </w:r>
          </w:p>
          <w:p w14:paraId="690F5C82" w14:textId="77777777" w:rsidR="006B4B4C" w:rsidRDefault="00000000">
            <w:pPr>
              <w:spacing w:after="40"/>
            </w:pPr>
            <w:r>
              <w:rPr>
                <w:i/>
                <w:iCs/>
                <w:sz w:val="20"/>
                <w:szCs w:val="20"/>
              </w:rPr>
              <w:t>Section 4, paragraph following Eq. (7):</w:t>
            </w:r>
          </w:p>
          <w:p w14:paraId="0D5CC63D" w14:textId="77777777" w:rsidR="006B4B4C" w:rsidRDefault="00000000">
            <w:pPr>
              <w:spacing w:after="80"/>
            </w:pPr>
            <w:r>
              <w:rPr>
                <w:sz w:val="20"/>
                <w:szCs w:val="20"/>
              </w:rPr>
              <w:t xml:space="preserve">Equation (7) then decomposes into two one-dimensional blocks, spanned by the two aligned configurations that </w:t>
            </w:r>
            <w:r>
              <w:rPr>
                <w:color w:val="0000FF"/>
                <w:sz w:val="20"/>
                <w:szCs w:val="20"/>
              </w:rPr>
              <w:t>belong to the triplet manifold</w:t>
            </w:r>
            <w:r>
              <w:rPr>
                <w:sz w:val="20"/>
                <w:szCs w:val="20"/>
              </w:rPr>
              <w:t xml:space="preserve">, and one two-dimensional block that couples the two anti-aligned configurations, </w:t>
            </w:r>
            <w:r>
              <w:rPr>
                <w:color w:val="0000FF"/>
                <w:sz w:val="20"/>
                <w:szCs w:val="20"/>
              </w:rPr>
              <w:t>from which the singlet and the unpolarized triplet state are formed</w:t>
            </w:r>
            <w:r>
              <w:rPr>
                <w:sz w:val="20"/>
                <w:szCs w:val="20"/>
              </w:rPr>
              <w:t>.</w:t>
            </w:r>
          </w:p>
          <w:p w14:paraId="5739782A" w14:textId="77777777" w:rsidR="006B4B4C" w:rsidRDefault="00000000">
            <w:pPr>
              <w:spacing w:after="40"/>
            </w:pPr>
            <w:r>
              <w:rPr>
                <w:i/>
                <w:iCs/>
                <w:sz w:val="20"/>
                <w:szCs w:val="20"/>
              </w:rPr>
              <w:t>Section 1, third paragraph:</w:t>
            </w:r>
          </w:p>
          <w:p w14:paraId="52C3CEC7" w14:textId="77777777" w:rsidR="006B4B4C" w:rsidRDefault="00000000">
            <w:pPr>
              <w:spacing w:after="80"/>
            </w:pPr>
            <w:r>
              <w:rPr>
                <w:sz w:val="20"/>
                <w:szCs w:val="20"/>
              </w:rPr>
              <w:t>“</w:t>
            </w:r>
            <w:r>
              <w:rPr>
                <w:color w:val="0000FF"/>
                <w:sz w:val="20"/>
                <w:szCs w:val="20"/>
              </w:rPr>
              <w:t>Two electrons</w:t>
            </w:r>
            <w:r>
              <w:rPr>
                <w:sz w:val="20"/>
                <w:szCs w:val="20"/>
              </w:rPr>
              <w:t xml:space="preserve"> confined in adjacent electrostatic minima…” (previously “Two electron systems”).</w:t>
            </w:r>
          </w:p>
        </w:tc>
      </w:tr>
    </w:tbl>
    <w:p w14:paraId="71B064F0" w14:textId="3EDE51E1" w:rsidR="006B4B4C" w:rsidRDefault="006B4B4C" w:rsidP="00F1107D">
      <w:pPr>
        <w:spacing w:before="360"/>
      </w:pPr>
    </w:p>
    <w:sectPr w:rsidR="006B4B4C">
      <w:footerReference w:type="default" r:id="rId7"/>
      <w:pgSz w:w="16838" w:h="11906" w:orient="landscape"/>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B3C6ED" w14:textId="77777777" w:rsidR="00A2045B" w:rsidRDefault="00A2045B">
      <w:r>
        <w:separator/>
      </w:r>
    </w:p>
  </w:endnote>
  <w:endnote w:type="continuationSeparator" w:id="0">
    <w:p w14:paraId="3315E5A9" w14:textId="77777777" w:rsidR="00A2045B" w:rsidRDefault="00A20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1E59B" w14:textId="77777777" w:rsidR="006B4B4C" w:rsidRDefault="00000000">
    <w:pPr>
      <w:jc w:val="center"/>
    </w:pPr>
    <w:r>
      <w:rPr>
        <w:sz w:val="18"/>
        <w:szCs w:val="18"/>
      </w:rPr>
      <w:fldChar w:fldCharType="begin"/>
    </w:r>
    <w:r>
      <w:rPr>
        <w:sz w:val="18"/>
        <w:szCs w:val="18"/>
      </w:rPr>
      <w:instrText>PAGE</w:instrText>
    </w:r>
    <w:r>
      <w:rPr>
        <w:sz w:val="18"/>
        <w:szCs w:val="18"/>
      </w:rPr>
      <w:fldChar w:fldCharType="separate"/>
    </w:r>
    <w:r w:rsidR="00856B3C">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4AC22" w14:textId="77777777" w:rsidR="00A2045B" w:rsidRDefault="00A2045B">
      <w:r>
        <w:separator/>
      </w:r>
    </w:p>
  </w:footnote>
  <w:footnote w:type="continuationSeparator" w:id="0">
    <w:p w14:paraId="293B7796" w14:textId="77777777" w:rsidR="00A2045B" w:rsidRDefault="00A204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E636B"/>
    <w:multiLevelType w:val="hybridMultilevel"/>
    <w:tmpl w:val="A30A5AE4"/>
    <w:lvl w:ilvl="0" w:tplc="6B04F924">
      <w:start w:val="1"/>
      <w:numFmt w:val="bullet"/>
      <w:lvlText w:val="●"/>
      <w:lvlJc w:val="left"/>
      <w:pPr>
        <w:ind w:left="720" w:hanging="360"/>
      </w:pPr>
    </w:lvl>
    <w:lvl w:ilvl="1" w:tplc="76CE344C">
      <w:start w:val="1"/>
      <w:numFmt w:val="bullet"/>
      <w:lvlText w:val="○"/>
      <w:lvlJc w:val="left"/>
      <w:pPr>
        <w:ind w:left="1440" w:hanging="360"/>
      </w:pPr>
    </w:lvl>
    <w:lvl w:ilvl="2" w:tplc="8E76B90A">
      <w:start w:val="1"/>
      <w:numFmt w:val="bullet"/>
      <w:lvlText w:val="■"/>
      <w:lvlJc w:val="left"/>
      <w:pPr>
        <w:ind w:left="2160" w:hanging="360"/>
      </w:pPr>
    </w:lvl>
    <w:lvl w:ilvl="3" w:tplc="623878E2">
      <w:start w:val="1"/>
      <w:numFmt w:val="bullet"/>
      <w:lvlText w:val="●"/>
      <w:lvlJc w:val="left"/>
      <w:pPr>
        <w:ind w:left="2880" w:hanging="360"/>
      </w:pPr>
    </w:lvl>
    <w:lvl w:ilvl="4" w:tplc="11ECDC1E">
      <w:start w:val="1"/>
      <w:numFmt w:val="bullet"/>
      <w:lvlText w:val="○"/>
      <w:lvlJc w:val="left"/>
      <w:pPr>
        <w:ind w:left="3600" w:hanging="360"/>
      </w:pPr>
    </w:lvl>
    <w:lvl w:ilvl="5" w:tplc="E7320774">
      <w:start w:val="1"/>
      <w:numFmt w:val="bullet"/>
      <w:lvlText w:val="■"/>
      <w:lvlJc w:val="left"/>
      <w:pPr>
        <w:ind w:left="4320" w:hanging="360"/>
      </w:pPr>
    </w:lvl>
    <w:lvl w:ilvl="6" w:tplc="3C4E0CA4">
      <w:start w:val="1"/>
      <w:numFmt w:val="bullet"/>
      <w:lvlText w:val="●"/>
      <w:lvlJc w:val="left"/>
      <w:pPr>
        <w:ind w:left="5040" w:hanging="360"/>
      </w:pPr>
    </w:lvl>
    <w:lvl w:ilvl="7" w:tplc="2CA4D808">
      <w:start w:val="1"/>
      <w:numFmt w:val="bullet"/>
      <w:lvlText w:val="●"/>
      <w:lvlJc w:val="left"/>
      <w:pPr>
        <w:ind w:left="5760" w:hanging="360"/>
      </w:pPr>
    </w:lvl>
    <w:lvl w:ilvl="8" w:tplc="5AD86408">
      <w:start w:val="1"/>
      <w:numFmt w:val="bullet"/>
      <w:lvlText w:val="●"/>
      <w:lvlJc w:val="left"/>
      <w:pPr>
        <w:ind w:left="6480" w:hanging="360"/>
      </w:pPr>
    </w:lvl>
  </w:abstractNum>
  <w:num w:numId="1" w16cid:durableId="5114516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4B4C"/>
    <w:rsid w:val="000D6750"/>
    <w:rsid w:val="00210B09"/>
    <w:rsid w:val="00506EFE"/>
    <w:rsid w:val="00634171"/>
    <w:rsid w:val="006B4B4C"/>
    <w:rsid w:val="00856B3C"/>
    <w:rsid w:val="008C2821"/>
    <w:rsid w:val="00A2045B"/>
    <w:rsid w:val="00B71D68"/>
    <w:rsid w:val="00C25D06"/>
    <w:rsid w:val="00F1107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25F26"/>
  <w15:docId w15:val="{79C5BF69-022A-4AB2-92E3-B40015E19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1929</Words>
  <Characters>10997</Characters>
  <Application>Microsoft Office Word</Application>
  <DocSecurity>0</DocSecurity>
  <Lines>91</Lines>
  <Paragraphs>25</Paragraphs>
  <ScaleCrop>false</ScaleCrop>
  <Company/>
  <LinksUpToDate>false</LinksUpToDate>
  <CharactersWithSpaces>12901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to Reviewers - BOND21 Manuscript No. 53</dc:title>
  <dc:creator>Husin Alatas</dc:creator>
  <cp:lastModifiedBy>Prof. Husin Alatas</cp:lastModifiedBy>
  <cp:revision>2</cp:revision>
  <dcterms:created xsi:type="dcterms:W3CDTF">2026-09-21T11:10:00Z</dcterms:created>
  <dcterms:modified xsi:type="dcterms:W3CDTF">2026-09-21T11:10:00Z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d2fc3bf6-d91c-43ed-b6c4-bb00250fab0e</vt:lpwstr>
  </property>
</Properties>
</file>