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857FFC" w14:textId="77777777" w:rsidR="001941BB" w:rsidRPr="00914426" w:rsidRDefault="001941BB" w:rsidP="001941BB">
      <w:pPr>
        <w:pStyle w:val="papertitle"/>
        <w:rPr>
          <w:color w:val="000000" w:themeColor="text1"/>
        </w:rPr>
      </w:pPr>
      <w:r w:rsidRPr="00914426">
        <w:rPr>
          <w:bCs/>
          <w:color w:val="000000" w:themeColor="text1"/>
        </w:rPr>
        <w:t>Live Thermal Energy Assessment of an Industrial Drying System Using an IoT-Based Monitoring Framework</w:t>
      </w:r>
    </w:p>
    <w:p w14:paraId="708BCC86" w14:textId="77777777" w:rsidR="001941BB" w:rsidRPr="00914426" w:rsidRDefault="001941BB" w:rsidP="001941BB">
      <w:pPr>
        <w:pStyle w:val="author"/>
        <w:rPr>
          <w:color w:val="000000" w:themeColor="text1"/>
        </w:rPr>
      </w:pPr>
      <w:r w:rsidRPr="00914426">
        <w:rPr>
          <w:color w:val="000000" w:themeColor="text1"/>
        </w:rPr>
        <w:t>Heriyanto Syafutra</w:t>
      </w:r>
      <w:r w:rsidRPr="00914426">
        <w:rPr>
          <w:color w:val="000000" w:themeColor="text1"/>
          <w:vertAlign w:val="superscript"/>
        </w:rPr>
        <w:t>1</w:t>
      </w:r>
      <w:r w:rsidRPr="00914426">
        <w:rPr>
          <w:color w:val="000000" w:themeColor="text1"/>
        </w:rPr>
        <w:t>, Satia Kamila Rachmania</w:t>
      </w:r>
      <w:r w:rsidRPr="00914426">
        <w:rPr>
          <w:color w:val="000000" w:themeColor="text1"/>
          <w:vertAlign w:val="superscript"/>
        </w:rPr>
        <w:t>1</w:t>
      </w:r>
      <w:r w:rsidRPr="00914426">
        <w:rPr>
          <w:color w:val="000000" w:themeColor="text1"/>
        </w:rPr>
        <w:t>, Irzaman</w:t>
      </w:r>
      <w:r w:rsidRPr="00914426">
        <w:rPr>
          <w:color w:val="000000" w:themeColor="text1"/>
          <w:vertAlign w:val="superscript"/>
        </w:rPr>
        <w:t>1</w:t>
      </w:r>
      <w:r w:rsidRPr="00914426">
        <w:rPr>
          <w:color w:val="000000" w:themeColor="text1"/>
        </w:rPr>
        <w:t xml:space="preserve">, </w:t>
      </w:r>
      <w:r w:rsidRPr="00914426">
        <w:rPr>
          <w:color w:val="000000" w:themeColor="text1"/>
          <w:lang w:val="en-ID"/>
        </w:rPr>
        <w:t>Muhammad Mahyiddin Ramli</w:t>
      </w:r>
      <w:r w:rsidRPr="00914426">
        <w:rPr>
          <w:color w:val="000000" w:themeColor="text1"/>
          <w:vertAlign w:val="superscript"/>
          <w:lang w:val="en-ID"/>
        </w:rPr>
        <w:t>2</w:t>
      </w:r>
      <w:r w:rsidRPr="00914426">
        <w:rPr>
          <w:color w:val="000000" w:themeColor="text1"/>
          <w:lang w:val="en-ID"/>
        </w:rPr>
        <w:t xml:space="preserve">, </w:t>
      </w:r>
      <w:r w:rsidRPr="00914426">
        <w:rPr>
          <w:color w:val="000000" w:themeColor="text1"/>
        </w:rPr>
        <w:t>Irmansyah</w:t>
      </w:r>
      <w:r w:rsidRPr="00914426">
        <w:rPr>
          <w:color w:val="000000" w:themeColor="text1"/>
          <w:vertAlign w:val="superscript"/>
        </w:rPr>
        <w:t>1</w:t>
      </w:r>
      <w:r w:rsidRPr="00914426">
        <w:rPr>
          <w:color w:val="000000" w:themeColor="text1"/>
        </w:rPr>
        <w:t xml:space="preserve"> </w:t>
      </w:r>
    </w:p>
    <w:p w14:paraId="3E3212B0" w14:textId="77777777" w:rsidR="001941BB" w:rsidRPr="00914426" w:rsidRDefault="001941BB" w:rsidP="001941BB">
      <w:pPr>
        <w:pStyle w:val="address"/>
        <w:rPr>
          <w:color w:val="000000" w:themeColor="text1"/>
        </w:rPr>
      </w:pPr>
      <w:r w:rsidRPr="00914426">
        <w:rPr>
          <w:color w:val="000000" w:themeColor="text1"/>
          <w:vertAlign w:val="superscript"/>
        </w:rPr>
        <w:t>1</w:t>
      </w:r>
      <w:r w:rsidRPr="00914426">
        <w:rPr>
          <w:color w:val="000000" w:themeColor="text1"/>
        </w:rPr>
        <w:t>Applied Physics Division, Department of Physics, Faculty of Mathematics and Natural Science, IPB University, Bogor, Indonesia</w:t>
      </w:r>
    </w:p>
    <w:p w14:paraId="2203B3E5" w14:textId="77777777" w:rsidR="001941BB" w:rsidRPr="00914426" w:rsidRDefault="001941BB" w:rsidP="001941BB">
      <w:pPr>
        <w:pStyle w:val="address"/>
        <w:rPr>
          <w:color w:val="000000" w:themeColor="text1"/>
        </w:rPr>
      </w:pPr>
      <w:r w:rsidRPr="00914426">
        <w:rPr>
          <w:color w:val="000000" w:themeColor="text1"/>
          <w:vertAlign w:val="superscript"/>
        </w:rPr>
        <w:t>2</w:t>
      </w:r>
      <w:r w:rsidRPr="00914426">
        <w:rPr>
          <w:color w:val="000000" w:themeColor="text1"/>
        </w:rPr>
        <w:t xml:space="preserve"> Institute of Nano Electronic Engineering (INEE), Universiti Malaysia Perlis (Unimap), Seriab 01000, Kangar, Perlis, Malaysia</w:t>
      </w:r>
      <w:r w:rsidRPr="00914426">
        <w:rPr>
          <w:color w:val="000000" w:themeColor="text1"/>
        </w:rPr>
        <w:br/>
      </w:r>
      <w:r w:rsidRPr="00914426">
        <w:rPr>
          <w:rStyle w:val="e-mail"/>
          <w:color w:val="000000" w:themeColor="text1"/>
        </w:rPr>
        <w:t>hsyafutra@apps.ipb.ac.id</w:t>
      </w:r>
    </w:p>
    <w:p w14:paraId="03191663" w14:textId="764D33B1" w:rsidR="001941BB" w:rsidRPr="00914426" w:rsidRDefault="001941BB" w:rsidP="006E572D">
      <w:pPr>
        <w:pStyle w:val="abstract"/>
        <w:rPr>
          <w:color w:val="000000" w:themeColor="text1"/>
          <w:lang w:val="en-ID"/>
        </w:rPr>
      </w:pPr>
      <w:r w:rsidRPr="00914426">
        <w:rPr>
          <w:b/>
          <w:bCs/>
          <w:color w:val="000000" w:themeColor="text1"/>
        </w:rPr>
        <w:t xml:space="preserve">Abstract. </w:t>
      </w:r>
      <w:r w:rsidRPr="00914426">
        <w:rPr>
          <w:color w:val="000000" w:themeColor="text1"/>
        </w:rPr>
        <w:t>I</w:t>
      </w:r>
      <w:r w:rsidRPr="00914426">
        <w:rPr>
          <w:color w:val="000000" w:themeColor="text1"/>
          <w:lang w:val="en-ID"/>
        </w:rPr>
        <w:t>ndustrial drying is an energy-intensive process in which manual monitoring of process parameters limits the continuous assessment of thermal performance. At the investigated industrial facility, process parameters were manually recorded from instrument panels, resulting in discrete datasets that limited the assessment of continuous energy performance. This study developed a physics-based Internet of Things system for live thermal energy assessment in an industrial drying process. The proposed framework integrates data from two control panels to continuously monitor the hot-water circulation system and oven operating conditions. The acquired data were automatically processed to estimate thermal energy supply and drying performance in real time. The oven temperature remained stable at 75–80 °C, while the inlet–outlet water temperature difference confirmed effective heat transfer to the drying chamber. The theoretical energy requirement was estimated from laboratory experiments using sensible and latent heat calculations and used as the minimum energy threshold for industrial production. This threshold was continuously compared with the actual thermal energy supplied, which was calculated in real time from the monitored hot-water temperature and flow-rate data.</w:t>
      </w:r>
      <w:r w:rsidR="00A7293A" w:rsidRPr="00914426">
        <w:rPr>
          <w:color w:val="000000" w:themeColor="text1"/>
          <w:lang w:val="en-ID"/>
        </w:rPr>
        <w:t xml:space="preserve"> </w:t>
      </w:r>
      <w:r w:rsidR="00D20C42" w:rsidRPr="00D20C42">
        <w:rPr>
          <w:color w:val="548DD4" w:themeColor="text2" w:themeTint="99"/>
          <w:lang w:val="en-ID"/>
        </w:rPr>
        <w:t>The average actual and theoretical thermal energy requirements were 151,291 and 115,920 kcal</w:t>
      </w:r>
      <w:r w:rsidR="00867C02">
        <w:rPr>
          <w:color w:val="548DD4" w:themeColor="text2" w:themeTint="99"/>
          <w:lang w:val="en-ID"/>
        </w:rPr>
        <w:t xml:space="preserve"> </w:t>
      </w:r>
      <w:r w:rsidR="00D20C42" w:rsidRPr="00D20C42">
        <w:rPr>
          <w:color w:val="548DD4" w:themeColor="text2" w:themeTint="99"/>
          <w:lang w:val="en-ID"/>
        </w:rPr>
        <w:t>h</w:t>
      </w:r>
      <w:r w:rsidR="00D20C42" w:rsidRPr="00867C02">
        <w:rPr>
          <w:color w:val="548DD4" w:themeColor="text2" w:themeTint="99"/>
          <w:vertAlign w:val="superscript"/>
          <w:lang w:val="en-ID"/>
        </w:rPr>
        <w:t>-1</w:t>
      </w:r>
      <w:r w:rsidR="00D20C42" w:rsidRPr="00D20C42">
        <w:rPr>
          <w:color w:val="548DD4" w:themeColor="text2" w:themeTint="99"/>
          <w:lang w:val="en-ID"/>
        </w:rPr>
        <w:t>, respectively. The difference amounts to an energy difference of 35371 kcal</w:t>
      </w:r>
      <w:r w:rsidR="00867C02">
        <w:rPr>
          <w:color w:val="548DD4" w:themeColor="text2" w:themeTint="99"/>
          <w:lang w:val="en-ID"/>
        </w:rPr>
        <w:t xml:space="preserve"> </w:t>
      </w:r>
      <w:r w:rsidR="00D20C42" w:rsidRPr="00D20C42">
        <w:rPr>
          <w:color w:val="548DD4" w:themeColor="text2" w:themeTint="99"/>
          <w:lang w:val="en-ID"/>
        </w:rPr>
        <w:t>h</w:t>
      </w:r>
      <w:r w:rsidR="00D20C42" w:rsidRPr="00867C02">
        <w:rPr>
          <w:color w:val="548DD4" w:themeColor="text2" w:themeTint="99"/>
          <w:vertAlign w:val="superscript"/>
          <w:lang w:val="en-ID"/>
        </w:rPr>
        <w:t>-1</w:t>
      </w:r>
      <w:r w:rsidR="00D20C42" w:rsidRPr="00D20C42">
        <w:rPr>
          <w:color w:val="548DD4" w:themeColor="text2" w:themeTint="99"/>
          <w:lang w:val="en-ID"/>
        </w:rPr>
        <w:t>, which is equivalent to 23.4% of the supplied thermal energy.</w:t>
      </w:r>
      <w:r w:rsidR="00A7293A" w:rsidRPr="00D20C42">
        <w:rPr>
          <w:color w:val="548DD4" w:themeColor="text2" w:themeTint="99"/>
          <w:lang w:val="en-ID"/>
        </w:rPr>
        <w:t xml:space="preserve"> </w:t>
      </w:r>
      <w:r w:rsidR="00A7293A" w:rsidRPr="00914426">
        <w:rPr>
          <w:color w:val="000000" w:themeColor="text1"/>
          <w:lang w:val="en-ID"/>
        </w:rPr>
        <w:t>This difference encompasses thermal energy variables not accounted for in the theoretical calculations for product heating and water evaporation; therefore, it cannot be interpreted strictly as heat loss</w:t>
      </w:r>
      <w:r w:rsidRPr="00914426">
        <w:rPr>
          <w:color w:val="000000" w:themeColor="text1"/>
          <w:lang w:val="en-ID"/>
        </w:rPr>
        <w:t>.</w:t>
      </w:r>
      <w:r w:rsidR="00A7293A" w:rsidRPr="00914426">
        <w:rPr>
          <w:color w:val="000000" w:themeColor="text1"/>
          <w:lang w:val="en-ID"/>
        </w:rPr>
        <w:t xml:space="preserve"> </w:t>
      </w:r>
      <w:r w:rsidR="00D20C42" w:rsidRPr="00D20C42">
        <w:rPr>
          <w:color w:val="548DD4" w:themeColor="text2" w:themeTint="99"/>
          <w:lang w:val="en-ID"/>
        </w:rPr>
        <w:t>This framework continuously monitors thermal performance, identifies mismatches between supplied energy and the product's theoretical requirements, and improves data-driven energy management in industrial drying processes.</w:t>
      </w:r>
    </w:p>
    <w:p w14:paraId="747C7E4C" w14:textId="7B8D7785" w:rsidR="006033B1" w:rsidRPr="00914426" w:rsidRDefault="001941BB" w:rsidP="001941BB">
      <w:pPr>
        <w:pStyle w:val="keywords"/>
        <w:rPr>
          <w:color w:val="000000" w:themeColor="text1"/>
        </w:rPr>
      </w:pPr>
      <w:r w:rsidRPr="00914426">
        <w:rPr>
          <w:b/>
          <w:bCs/>
          <w:color w:val="000000" w:themeColor="text1"/>
        </w:rPr>
        <w:t>Keywords:</w:t>
      </w:r>
      <w:r w:rsidRPr="00914426">
        <w:rPr>
          <w:color w:val="000000" w:themeColor="text1"/>
        </w:rPr>
        <w:t xml:space="preserve"> </w:t>
      </w:r>
      <w:r w:rsidR="00D20C42" w:rsidRPr="00914426">
        <w:rPr>
          <w:color w:val="000000" w:themeColor="text1"/>
        </w:rPr>
        <w:t>thermal energy gap</w:t>
      </w:r>
      <w:r w:rsidRPr="00914426">
        <w:rPr>
          <w:color w:val="000000" w:themeColor="text1"/>
        </w:rPr>
        <w:t xml:space="preserve">; industrial drying; internet of things; live monitoring; </w:t>
      </w:r>
      <w:r w:rsidR="008155F9" w:rsidRPr="008155F9">
        <w:rPr>
          <w:color w:val="000000" w:themeColor="text1"/>
        </w:rPr>
        <w:t>thermal energy assessment.</w:t>
      </w:r>
    </w:p>
    <w:p w14:paraId="67061B80" w14:textId="77777777" w:rsidR="006033B1" w:rsidRPr="00914426" w:rsidRDefault="00141042" w:rsidP="00C24DEF">
      <w:pPr>
        <w:pStyle w:val="heading1"/>
        <w:rPr>
          <w:color w:val="000000" w:themeColor="text1"/>
        </w:rPr>
      </w:pPr>
      <w:r w:rsidRPr="00914426">
        <w:rPr>
          <w:color w:val="000000" w:themeColor="text1"/>
        </w:rPr>
        <w:lastRenderedPageBreak/>
        <w:t>Introduction</w:t>
      </w:r>
    </w:p>
    <w:p w14:paraId="0C0E4218" w14:textId="6585A69D" w:rsidR="00C6668A" w:rsidRPr="008155F9" w:rsidRDefault="008155F9" w:rsidP="0091552D">
      <w:pPr>
        <w:ind w:firstLine="567"/>
        <w:rPr>
          <w:color w:val="548DD4" w:themeColor="text2" w:themeTint="99"/>
        </w:rPr>
      </w:pPr>
      <w:r w:rsidRPr="008155F9">
        <w:rPr>
          <w:color w:val="548DD4" w:themeColor="text2" w:themeTint="99"/>
        </w:rPr>
        <w:t>Industrial drying is a high energy process as large amount of thermal energy is required to heat the product and remove moisture content during the produc-tion process</w:t>
      </w:r>
      <w:r w:rsidR="00535C91" w:rsidRPr="008155F9">
        <w:rPr>
          <w:color w:val="548DD4" w:themeColor="text2" w:themeTint="99"/>
        </w:rPr>
        <w:t xml:space="preserve"> </w:t>
      </w:r>
      <w:r w:rsidR="00535C91" w:rsidRPr="008155F9">
        <w:rPr>
          <w:color w:val="548DD4" w:themeColor="text2" w:themeTint="99"/>
        </w:rPr>
        <w:fldChar w:fldCharType="begin" w:fldLock="1"/>
      </w:r>
      <w:r w:rsidR="00345FAD" w:rsidRPr="008155F9">
        <w:rPr>
          <w:color w:val="548DD4" w:themeColor="text2" w:themeTint="99"/>
        </w:rPr>
        <w:instrText>ADDIN CSL_CITATION {"citationItems":[{"id":"ITEM-1","itemData":{"DOI":"10.1016/j.energy.2023.128571","ISSN":"03605442","author":[{"dropping-particle":"","family":"Li","given":"Mengjie","non-dropping-particle":"","parse-names":false,"suffix":""},{"dropping-particle":"","family":"Liu","given":"Ming","non-dropping-particle":"","parse-names":false,"suffix":""},{"dropping-particle":"","family":"Xu","given":"Can","non-dropping-particle":"","parse-names":false,"suffix":""},{"dropping-particle":"","family":"Wang","given":"Jinshi","non-dropping-particle":"","parse-names":false,"suffix":""},{"dropping-particle":"","family":"Yan","given":"Junjie","non-dropping-particle":"","parse-names":false,"suffix":""}],"container-title":"Energy","id":"ITEM-1","issued":{"date-parts":[["2023","12"]]},"page":"128571","title":"Thermodynamic and sensitivity analyses on drying subprocesses of various evaporative dryers: A comparative study","type":"article-journal","volume":"284"},"uris":["http://www.mendeley.com/documents/?uuid=11b2f572-60dc-49ed-844d-11302533b850"]},{"id":"ITEM-2","itemData":{"DOI":"10.1016/j.rser.2024.114442","ISSN":"13640321","author":[{"dropping-particle":"","family":"Mondal","given":"Md. Hasan Tarek","non-dropping-particle":"","parse-names":false,"suffix":""},{"dropping-particle":"","family":"Sarker","given":"Md. Sazzat Hossain","non-dropping-particle":"","parse-names":false,"suffix":""}],"container-title":"Renewable and Sustainable Energy Reviews","id":"ITEM-2","issued":{"date-parts":[["2024","7"]]},"page":"114442","title":"Comprehensive energy analysis and environmental sustainability of industrial grain drying","type":"article-journal","volume":"199"},"uris":["http://www.mendeley.com/documents/?uuid=271f62f4-aaa0-4a29-940f-8a24e11aa8ea"]}],"mendeley":{"formattedCitation":"[1], [2]","plainTextFormattedCitation":"[1], [2]","previouslyFormattedCitation":"[1], [2]"},"properties":{"noteIndex":0},"schema":"https://github.com/citation-style-language/schema/raw/master/csl-citation.json"}</w:instrText>
      </w:r>
      <w:r w:rsidR="00535C91" w:rsidRPr="008155F9">
        <w:rPr>
          <w:color w:val="548DD4" w:themeColor="text2" w:themeTint="99"/>
        </w:rPr>
        <w:fldChar w:fldCharType="separate"/>
      </w:r>
      <w:r w:rsidR="00535C91" w:rsidRPr="008155F9">
        <w:rPr>
          <w:noProof/>
          <w:color w:val="548DD4" w:themeColor="text2" w:themeTint="99"/>
        </w:rPr>
        <w:t>[1], [2]</w:t>
      </w:r>
      <w:r w:rsidR="00535C91" w:rsidRPr="008155F9">
        <w:rPr>
          <w:color w:val="548DD4" w:themeColor="text2" w:themeTint="99"/>
        </w:rPr>
        <w:fldChar w:fldCharType="end"/>
      </w:r>
      <w:r w:rsidR="00C6668A" w:rsidRPr="008155F9">
        <w:rPr>
          <w:color w:val="548DD4" w:themeColor="text2" w:themeTint="99"/>
        </w:rPr>
        <w:t xml:space="preserve">. </w:t>
      </w:r>
      <w:r w:rsidRPr="008155F9">
        <w:rPr>
          <w:color w:val="548DD4" w:themeColor="text2" w:themeTint="99"/>
        </w:rPr>
        <w:t>In a drying system with hot water circulation, the thermal energy produced by the boiler is conveyed by the circulating water and transferred to the drying air through a radiator-blower unit. The thermal efficiency of such a system is not only dependent on the capability of keeping the required temperature inside the oven, but also on the matching of supplied energy to the actual energy demand during the drying process. If the temperature energy input is too high, it may result in increased energy consumption. If the energy input is too low, it may result in failure to achieve the necessary drying conditions. To be able to work efficiently with the energy, information is required on the thermal state of the oven and the energy delivered by the heating system.</w:t>
      </w:r>
    </w:p>
    <w:p w14:paraId="1553B370" w14:textId="69837D87" w:rsidR="00C6668A" w:rsidRPr="008155F9" w:rsidRDefault="008155F9" w:rsidP="0091552D">
      <w:pPr>
        <w:ind w:firstLine="567"/>
        <w:rPr>
          <w:color w:val="548DD4" w:themeColor="text2" w:themeTint="99"/>
        </w:rPr>
      </w:pPr>
      <w:r w:rsidRPr="008155F9">
        <w:rPr>
          <w:color w:val="548DD4" w:themeColor="text2" w:themeTint="99"/>
        </w:rPr>
        <w:t>Manual monitoring of industrial drying process parameters results in suboptimal performance evaluation because data are collected only at discrete intervals. This approach records operating conditions at specific moments, leaving changes during the process, such as fluctuations in oven temperature, humidity, hot water temperature, and flow rate consistency, unrecorded</w:t>
      </w:r>
      <w:r w:rsidR="00345FAD" w:rsidRPr="008155F9">
        <w:rPr>
          <w:color w:val="548DD4" w:themeColor="text2" w:themeTint="99"/>
        </w:rPr>
        <w:t xml:space="preserve"> </w:t>
      </w:r>
      <w:r w:rsidR="00345FAD" w:rsidRPr="008155F9">
        <w:rPr>
          <w:color w:val="548DD4" w:themeColor="text2" w:themeTint="99"/>
        </w:rPr>
        <w:fldChar w:fldCharType="begin" w:fldLock="1"/>
      </w:r>
      <w:r w:rsidR="00345FAD" w:rsidRPr="008155F9">
        <w:rPr>
          <w:color w:val="548DD4" w:themeColor="text2" w:themeTint="99"/>
        </w:rPr>
        <w:instrText>ADDIN CSL_CITATION {"citationItems":[{"id":"ITEM-1","itemData":{"DOI":"10.1007/s43926-025-00110-y","ISSN":"2730-7239","author":[{"dropping-particle":"","family":"Khasawneh","given":"Hussam J.","non-dropping-particle":"","parse-names":false,"suffix":""},{"dropping-particle":"","family":"Asbahi","given":"Raghad","non-dropping-particle":"Al","parse-names":false,"suffix":""},{"dropping-particle":"","family":"Alzariqi","given":"Abdelrahman W.","non-dropping-particle":"","parse-names":false,"suffix":""},{"dropping-particle":"","family":"Qada","given":"Danah R.","non-dropping-particle":"Al","parse-names":false,"suffix":""},{"dropping-particle":"","family":"Bujuk","given":"Ayman","non-dropping-particle":"","parse-names":false,"suffix":""},{"dropping-particle":"","family":"Nawfal","given":"Muhammad A.","non-dropping-particle":"","parse-names":false,"suffix":""},{"dropping-particle":"","family":"Tareen","given":"Maria","non-dropping-particle":"","parse-names":false,"suffix":""}],"container-title":"Discover Internet of Things","id":"ITEM-1","issue":"1","issued":{"date-parts":[["2025","2","22"]]},"page":"15","title":"Industrial IoT-based submetering solution for real-time energy monitoring","type":"article-journal","volume":"5"},"uris":["http://www.mendeley.com/documents/?uuid=3bac228e-adcc-436e-8ea1-3038756b8b8b"]}],"mendeley":{"formattedCitation":"[3]","plainTextFormattedCitation":"[3]","previouslyFormattedCitation":"[3]"},"properties":{"noteIndex":0},"schema":"https://github.com/citation-style-language/schema/raw/master/csl-citation.json"}</w:instrText>
      </w:r>
      <w:r w:rsidR="00345FAD" w:rsidRPr="008155F9">
        <w:rPr>
          <w:color w:val="548DD4" w:themeColor="text2" w:themeTint="99"/>
        </w:rPr>
        <w:fldChar w:fldCharType="separate"/>
      </w:r>
      <w:r w:rsidR="00345FAD" w:rsidRPr="008155F9">
        <w:rPr>
          <w:noProof/>
          <w:color w:val="548DD4" w:themeColor="text2" w:themeTint="99"/>
        </w:rPr>
        <w:t>[3]</w:t>
      </w:r>
      <w:r w:rsidR="00345FAD" w:rsidRPr="008155F9">
        <w:rPr>
          <w:color w:val="548DD4" w:themeColor="text2" w:themeTint="99"/>
        </w:rPr>
        <w:fldChar w:fldCharType="end"/>
      </w:r>
      <w:r w:rsidR="00C6668A" w:rsidRPr="008155F9">
        <w:rPr>
          <w:color w:val="548DD4" w:themeColor="text2" w:themeTint="99"/>
        </w:rPr>
        <w:t xml:space="preserve">. </w:t>
      </w:r>
      <w:r w:rsidR="00F61047" w:rsidRPr="00F61047">
        <w:rPr>
          <w:color w:val="548DD4" w:themeColor="text2" w:themeTint="99"/>
        </w:rPr>
        <w:t>This limitation is significant when dynamic parameter evaluation is necessary during drying. For example, variations in water flow rate and inlet-outlet temperature differentials directly influence the amount of heat transferred into the drying system. In contrast, real-time monitoring facilitates the identification of periods with excessive or insufficient thermal energy supply.</w:t>
      </w:r>
    </w:p>
    <w:p w14:paraId="6BA558B6" w14:textId="7D32E157" w:rsidR="00C6668A" w:rsidRPr="00914426" w:rsidRDefault="00BC27ED" w:rsidP="0091552D">
      <w:pPr>
        <w:ind w:firstLine="567"/>
        <w:rPr>
          <w:color w:val="000000" w:themeColor="text1"/>
        </w:rPr>
      </w:pPr>
      <w:r w:rsidRPr="00BC27ED">
        <w:rPr>
          <w:color w:val="548DD4" w:themeColor="text2" w:themeTint="99"/>
        </w:rPr>
        <w:t>Internet of Things (IoT) technology provides an integrated approach for combining sensors, embedded data acquisition systems, automated data processing, and real-time visualization in industrial environments</w:t>
      </w:r>
      <w:r w:rsidR="00FA3B6D" w:rsidRPr="008155F9">
        <w:rPr>
          <w:color w:val="548DD4" w:themeColor="text2" w:themeTint="99"/>
        </w:rPr>
        <w:t xml:space="preserve"> </w:t>
      </w:r>
      <w:r w:rsidR="00345FAD" w:rsidRPr="008155F9">
        <w:rPr>
          <w:color w:val="548DD4" w:themeColor="text2" w:themeTint="99"/>
        </w:rPr>
        <w:fldChar w:fldCharType="begin" w:fldLock="1"/>
      </w:r>
      <w:r w:rsidR="00345FAD" w:rsidRPr="008155F9">
        <w:rPr>
          <w:color w:val="548DD4" w:themeColor="text2" w:themeTint="99"/>
        </w:rPr>
        <w:instrText>ADDIN CSL_CITATION {"citationItems":[{"id":"ITEM-1","itemData":{"DOI":"10.1016/j.iot.2020.100292","ISSN":"25426605","author":[{"dropping-particle":"","family":"Mudaliar","given":"Mani Dheeraj","non-dropping-particle":"","parse-names":false,"suffix":""},{"dropping-particle":"","family":"Sivakumar","given":"N.","non-dropping-particle":"","parse-names":false,"suffix":""}],"container-title":"Internet of Things","id":"ITEM-1","issued":{"date-parts":[["2020","12"]]},"page":"100292","title":"IoT based real time energy monitoring system using Raspberry Pi","type":"article-journal","volume":"12"},"uris":["http://www.mendeley.com/documents/?uuid=fb82a8ad-13ac-480c-ba4f-3758eb2aff5f"]}],"mendeley":{"formattedCitation":"[4]","plainTextFormattedCitation":"[4]","previouslyFormattedCitation":"[4]"},"properties":{"noteIndex":0},"schema":"https://github.com/citation-style-language/schema/raw/master/csl-citation.json"}</w:instrText>
      </w:r>
      <w:r w:rsidR="00345FAD" w:rsidRPr="008155F9">
        <w:rPr>
          <w:color w:val="548DD4" w:themeColor="text2" w:themeTint="99"/>
        </w:rPr>
        <w:fldChar w:fldCharType="separate"/>
      </w:r>
      <w:r w:rsidR="00345FAD" w:rsidRPr="008155F9">
        <w:rPr>
          <w:noProof/>
          <w:color w:val="548DD4" w:themeColor="text2" w:themeTint="99"/>
        </w:rPr>
        <w:t>[4]</w:t>
      </w:r>
      <w:r w:rsidR="00345FAD" w:rsidRPr="008155F9">
        <w:rPr>
          <w:color w:val="548DD4" w:themeColor="text2" w:themeTint="99"/>
        </w:rPr>
        <w:fldChar w:fldCharType="end"/>
      </w:r>
      <w:r w:rsidR="00C6668A" w:rsidRPr="008155F9">
        <w:rPr>
          <w:color w:val="548DD4" w:themeColor="text2" w:themeTint="99"/>
        </w:rPr>
        <w:t xml:space="preserve">. </w:t>
      </w:r>
      <w:r w:rsidRPr="00BC27ED">
        <w:rPr>
          <w:color w:val="548DD4" w:themeColor="text2" w:themeTint="99"/>
        </w:rPr>
        <w:t>IoT has been extensively implemented to monitor physical process variables and enhance access to operational data within industrial processes.</w:t>
      </w:r>
      <w:r w:rsidR="00FA3B6D" w:rsidRPr="008155F9">
        <w:rPr>
          <w:color w:val="548DD4" w:themeColor="text2" w:themeTint="99"/>
        </w:rPr>
        <w:t xml:space="preserve"> </w:t>
      </w:r>
      <w:r w:rsidR="00345FAD" w:rsidRPr="008155F9">
        <w:rPr>
          <w:color w:val="548DD4" w:themeColor="text2" w:themeTint="99"/>
        </w:rPr>
        <w:fldChar w:fldCharType="begin" w:fldLock="1"/>
      </w:r>
      <w:r w:rsidR="00345FAD" w:rsidRPr="008155F9">
        <w:rPr>
          <w:color w:val="548DD4" w:themeColor="text2" w:themeTint="99"/>
        </w:rPr>
        <w:instrText>ADDIN CSL_CITATION {"citationItems":[{"id":"ITEM-1","itemData":{"DOI":"10.1007/s43926-025-00110-y","ISSN":"2730-7239","author":[{"dropping-particle":"","family":"Khasawneh","given":"Hussam J.","non-dropping-particle":"","parse-names":false,"suffix":""},{"dropping-particle":"","family":"Asbahi","given":"Raghad","non-dropping-particle":"Al","parse-names":false,"suffix":""},{"dropping-particle":"","family":"Alzariqi","given":"Abdelrahman W.","non-dropping-particle":"","parse-names":false,"suffix":""},{"dropping-particle":"","family":"Qada","given":"Danah R.","non-dropping-particle":"Al","parse-names":false,"suffix":""},{"dropping-particle":"","family":"Bujuk","given":"Ayman","non-dropping-particle":"","parse-names":false,"suffix":""},{"dropping-particle":"","family":"Nawfal","given":"Muhammad A.","non-dropping-particle":"","parse-names":false,"suffix":""},{"dropping-particle":"","family":"Tareen","given":"Maria","non-dropping-particle":"","parse-names":false,"suffix":""}],"container-title":"Discover Internet of Things","id":"ITEM-1","issue":"1","issued":{"date-parts":[["2025","2","22"]]},"page":"15","title":"Industrial IoT-based submetering solution for real-time energy monitoring","type":"article-journal","volume":"5"},"uris":["http://www.mendeley.com/documents/?uuid=3bac228e-adcc-436e-8ea1-3038756b8b8b"]},{"id":"ITEM-2","itemData":{"DOI":"10.1016/j.iot.2020.100292","ISSN":"25426605","author":[{"dropping-particle":"","family":"Mudaliar","given":"Mani Dheeraj","non-dropping-particle":"","parse-names":false,"suffix":""},{"dropping-particle":"","family":"Sivakumar","given":"N.","non-dropping-particle":"","parse-names":false,"suffix":""}],"container-title":"Internet of Things","id":"ITEM-2","issued":{"date-parts":[["2020","12"]]},"page":"100292","title":"IoT based real time energy monitoring system using Raspberry Pi","type":"article-journal","volume":"12"},"uris":["http://www.mendeley.com/documents/?uuid=fb82a8ad-13ac-480c-ba4f-3758eb2aff5f"]},{"id":"ITEM-3","itemData":{"DOI":"10.3390/app15063222","ISSN":"2076-3417","abstract":"The rising cost of energy and the urgent need for sustainability have driven industries to adopt smarter solutions for monitoring and optimizing resource consumption. In this study, we present an Industrial Internet of Things (IIoT)-based approach for real-time energy and air consumption monitoring in manufacturing, focusing on a legacy Turret Punch Press (TPP) at Mitsubishi Electric Air Conditioning Systems Europe Ltd. (M-ACE). Due to its age and lack of modern monitoring capabilities, the machine was suspected to be inefficient, requiring a retrofitting strategy for improved transparency and optimization. To address these challenges, a structured IIoT-enabled monitoring system was deployed, integrating KEYENCE MP-F series sensors, an energy monitoring module, and Ethernet communication via Modbus TCP/IP. A comprehensive dashboarding system was developed for real-time visualization and analysis of energy consumption trends, identifying inefficiencies and optimizing machine usage. The data-driven approach revealed significant energy savings of up to 56% and uncovered hidden inefficiencies, including a persistent air leak. By implementing a smart shut-off valve triggered by real-time power consumption data, unnecessary air leakage was eliminated, reducing compressed air waste and overall energy costs. The results demonstrate the effectiveness of IIoT-based retrofitting for industrial energy efficiency, showcasing a scalable framework that can be applied across various machines and production environments. This study highlights the importance of data-driven decision-making in smart manufacturing, contributing to both cost reduction and sustainability goals in industrial settings.","author":[{"dropping-particle":"","family":"Hanifi","given":"Shahram","non-dropping-particle":"","parse-names":false,"suffix":""},{"dropping-particle":"","family":"Alkali","given":"Babakalli","non-dropping-particle":"","parse-names":false,"suffix":""},{"dropping-particle":"","family":"Lindsay","given":"Gordon","non-dropping-particle":"","parse-names":false,"suffix":""},{"dropping-particle":"","family":"McGlinchey","given":"Don","non-dropping-particle":"","parse-names":false,"suffix":""}],"container-title":"Applied Sciences","id":"ITEM-3","issue":"6","issued":{"date-parts":[["2025","3","15"]]},"page":"3222","title":"Optimizing Energy and Air Consumption in Smart Manufacturing: An Industrial Internet of Things-Based Monitoring and Efficiency Enhancement Solution","type":"article-journal","volume":"15"},"uris":["http://www.mendeley.com/documents/?uuid=6116cbb4-16f3-49d9-933b-a22a729d0815"]}],"mendeley":{"formattedCitation":"[3]–[5]","plainTextFormattedCitation":"[3]–[5]","previouslyFormattedCitation":"[3]–[5]"},"properties":{"noteIndex":0},"schema":"https://github.com/citation-style-language/schema/raw/master/csl-citation.json"}</w:instrText>
      </w:r>
      <w:r w:rsidR="00345FAD" w:rsidRPr="008155F9">
        <w:rPr>
          <w:color w:val="548DD4" w:themeColor="text2" w:themeTint="99"/>
        </w:rPr>
        <w:fldChar w:fldCharType="separate"/>
      </w:r>
      <w:r w:rsidR="00345FAD" w:rsidRPr="008155F9">
        <w:rPr>
          <w:noProof/>
          <w:color w:val="548DD4" w:themeColor="text2" w:themeTint="99"/>
        </w:rPr>
        <w:t>[3]–[5]</w:t>
      </w:r>
      <w:r w:rsidR="00345FAD" w:rsidRPr="008155F9">
        <w:rPr>
          <w:color w:val="548DD4" w:themeColor="text2" w:themeTint="99"/>
        </w:rPr>
        <w:fldChar w:fldCharType="end"/>
      </w:r>
      <w:r w:rsidR="00C6668A" w:rsidRPr="008155F9">
        <w:rPr>
          <w:color w:val="548DD4" w:themeColor="text2" w:themeTint="99"/>
        </w:rPr>
        <w:t>.</w:t>
      </w:r>
      <w:r w:rsidR="00C6668A" w:rsidRPr="00914426">
        <w:rPr>
          <w:color w:val="000000" w:themeColor="text1"/>
        </w:rPr>
        <w:t xml:space="preserve"> </w:t>
      </w:r>
      <w:r w:rsidR="00FA3B6D" w:rsidRPr="00914426">
        <w:rPr>
          <w:color w:val="000000" w:themeColor="text1"/>
        </w:rPr>
        <w:t xml:space="preserve">In industrial drying, for example, the monitoring of temperature, humidity, and flow rate is often still performed manually. This method cannot directly verify the accuracy of energy distribution; consequently, the thermal energy supplied to the dryer and the actual energy requirements of the product being dried cannot be precisely determined. </w:t>
      </w:r>
      <w:r w:rsidRPr="00BC27ED">
        <w:rPr>
          <w:color w:val="548DD4" w:themeColor="text2" w:themeTint="99"/>
        </w:rPr>
        <w:t>By combining thermodynamic calculations with the physical parameters that are continuously monitored, it is possible to transform the sensor data into thermal energy information</w:t>
      </w:r>
      <w:r w:rsidR="00345FAD" w:rsidRPr="00BC27ED">
        <w:rPr>
          <w:color w:val="548DD4" w:themeColor="text2" w:themeTint="99"/>
        </w:rPr>
        <w:t xml:space="preserve"> </w:t>
      </w:r>
      <w:r w:rsidR="00345FAD" w:rsidRPr="00BC27ED">
        <w:rPr>
          <w:color w:val="548DD4" w:themeColor="text2" w:themeTint="99"/>
        </w:rPr>
        <w:fldChar w:fldCharType="begin" w:fldLock="1"/>
      </w:r>
      <w:r w:rsidR="00345FAD" w:rsidRPr="00BC27ED">
        <w:rPr>
          <w:color w:val="548DD4" w:themeColor="text2" w:themeTint="99"/>
        </w:rPr>
        <w:instrText>ADDIN CSL_CITATION {"citationItems":[{"id":"ITEM-1","itemData":{"DOI":"10.1016/j.rser.2024.114442","ISSN":"13640321","author":[{"dropping-particle":"","family":"Mondal","given":"Md. Hasan Tarek","non-dropping-particle":"","parse-names":false,"suffix":""},{"dropping-particle":"","family":"Sarker","given":"Md. Sazzat Hossain","non-dropping-particle":"","parse-names":false,"suffix":""}],"container-title":"Renewable and Sustainable Energy Reviews","id":"ITEM-1","issued":{"date-parts":[["2024","7"]]},"page":"114442","title":"Comprehensive energy analysis and environmental sustainability of industrial grain drying","type":"article-journal","volume":"199"},"uris":["http://www.mendeley.com/documents/?uuid=271f62f4-aaa0-4a29-940f-8a24e11aa8ea"]},{"id":"ITEM-2","itemData":{"DOI":"10.1016/j.future.2017.09.026","ISSN":"0167739X","author":[{"dropping-particle":"","family":"Pease","given":"Sarogini Grace","non-dropping-particle":"","parse-names":false,"suffix":""},{"dropping-particle":"","family":"Trueman","given":"Russell","non-dropping-particle":"","parse-names":false,"suffix":""},{"dropping-particle":"","family":"Davies","given":"Callum","non-dropping-particle":"","parse-names":false,"suffix":""},{"dropping-particle":"","family":"Grosberg","given":"Jude","non-dropping-particle":"","parse-names":false,"suffix":""},{"dropping-particle":"","family":"Yau","given":"Kai Hin","non-dropping-particle":"","parse-names":false,"suffix":""},{"dropping-particle":"","family":"Kaur","given":"Navjot","non-dropping-particle":"","parse-names":false,"suffix":""},{"dropping-particle":"","family":"Conway","given":"Paul","non-dropping-particle":"","parse-names":false,"suffix":""},{"dropping-particle":"","family":"West","given":"Andrew","non-dropping-particle":"","parse-names":false,"suffix":""}],"container-title":"Future Generation Computer Systems","id":"ITEM-2","issued":{"date-parts":[["2018","2"]]},"page":"815-829","title":"An intelligent real-time cyber-physical toolset for energy and process prediction and optimisation in the future industrial Internet of Things","type":"article-journal","volume":"79"},"uris":["http://www.mendeley.com/documents/?uuid=8abe1115-61f1-47dd-805d-426a04466427"]}],"mendeley":{"formattedCitation":"[2], [6]","plainTextFormattedCitation":"[2], [6]","previouslyFormattedCitation":"[2], [6]"},"properties":{"noteIndex":0},"schema":"https://github.com/citation-style-language/schema/raw/master/csl-citation.json"}</w:instrText>
      </w:r>
      <w:r w:rsidR="00345FAD" w:rsidRPr="00BC27ED">
        <w:rPr>
          <w:color w:val="548DD4" w:themeColor="text2" w:themeTint="99"/>
        </w:rPr>
        <w:fldChar w:fldCharType="separate"/>
      </w:r>
      <w:r w:rsidR="00345FAD" w:rsidRPr="00BC27ED">
        <w:rPr>
          <w:noProof/>
          <w:color w:val="548DD4" w:themeColor="text2" w:themeTint="99"/>
        </w:rPr>
        <w:t>[2], [6]</w:t>
      </w:r>
      <w:r w:rsidR="00345FAD" w:rsidRPr="00BC27ED">
        <w:rPr>
          <w:color w:val="548DD4" w:themeColor="text2" w:themeTint="99"/>
        </w:rPr>
        <w:fldChar w:fldCharType="end"/>
      </w:r>
      <w:r w:rsidR="00C6668A" w:rsidRPr="00BC27ED">
        <w:rPr>
          <w:color w:val="548DD4" w:themeColor="text2" w:themeTint="99"/>
        </w:rPr>
        <w:t xml:space="preserve">. </w:t>
      </w:r>
      <w:r w:rsidRPr="00BC27ED">
        <w:rPr>
          <w:color w:val="548DD4" w:themeColor="text2" w:themeTint="99"/>
        </w:rPr>
        <w:t>This combination allows the IoT monitoring function to go beyond a simple process visualization to a direct evaluation of energy requirements.</w:t>
      </w:r>
    </w:p>
    <w:p w14:paraId="51E970DE" w14:textId="57682C7E" w:rsidR="00141042" w:rsidRPr="00914426" w:rsidRDefault="00BC27ED" w:rsidP="0091552D">
      <w:pPr>
        <w:ind w:firstLine="567"/>
        <w:rPr>
          <w:color w:val="000000" w:themeColor="text1"/>
        </w:rPr>
      </w:pPr>
      <w:r w:rsidRPr="00BC27ED">
        <w:rPr>
          <w:color w:val="548DD4" w:themeColor="text2" w:themeTint="99"/>
        </w:rPr>
        <w:t>The research focuses on the development and implementation of an IoT-based frame-work for the evaluation of thermal energy requirements. The system is used for the industrial drying process of mosquito coil products, hot water circulation is used as a source of thermal energy</w:t>
      </w:r>
      <w:r w:rsidR="00387EEB" w:rsidRPr="00BC27ED">
        <w:rPr>
          <w:color w:val="548DD4" w:themeColor="text2" w:themeTint="99"/>
        </w:rPr>
        <w:t>.</w:t>
      </w:r>
      <w:r w:rsidR="00C6668A" w:rsidRPr="00BC27ED">
        <w:rPr>
          <w:color w:val="548DD4" w:themeColor="text2" w:themeTint="99"/>
        </w:rPr>
        <w:t xml:space="preserve"> </w:t>
      </w:r>
      <w:r w:rsidR="00C6668A" w:rsidRPr="00914426">
        <w:rPr>
          <w:color w:val="000000" w:themeColor="text1"/>
        </w:rPr>
        <w:t xml:space="preserve">The developed framework continuously monitors oven air temperature, relative humidity, inlet and outlet hot water temperatures, and water flow rate, then integrates these measurements with thermal energy calculations and real-time data visualization. </w:t>
      </w:r>
      <w:r w:rsidRPr="00BC27ED">
        <w:rPr>
          <w:color w:val="548DD4" w:themeColor="text2" w:themeTint="99"/>
        </w:rPr>
        <w:t>The thermal energy supply being monitored is compared with the theoretical energy demand, calculated from the energy needed for product heating and water evaporation, to identify thermal energy gaps during industrial operations.</w:t>
      </w:r>
      <w:r w:rsidR="00C6668A" w:rsidRPr="00BC27ED">
        <w:rPr>
          <w:color w:val="548DD4" w:themeColor="text2" w:themeTint="99"/>
        </w:rPr>
        <w:t xml:space="preserve"> </w:t>
      </w:r>
      <w:r w:rsidR="00C6668A" w:rsidRPr="00914426">
        <w:rPr>
          <w:color w:val="000000" w:themeColor="text1"/>
        </w:rPr>
        <w:t xml:space="preserve">This study aims to demonstrate how the integration of IoT-based monitoring and physics-based </w:t>
      </w:r>
      <w:r w:rsidR="00C6668A" w:rsidRPr="00914426">
        <w:rPr>
          <w:color w:val="000000" w:themeColor="text1"/>
        </w:rPr>
        <w:lastRenderedPageBreak/>
        <w:t>thermal calculations can support continuous evaluation of drying conditions and provide a data-driven foundation to improve industrial energy management.</w:t>
      </w:r>
    </w:p>
    <w:p w14:paraId="039BDFA6" w14:textId="77777777" w:rsidR="00141042" w:rsidRPr="00914426" w:rsidRDefault="00141042" w:rsidP="00141042">
      <w:pPr>
        <w:pStyle w:val="heading1"/>
        <w:rPr>
          <w:color w:val="000000" w:themeColor="text1"/>
        </w:rPr>
      </w:pPr>
      <w:r w:rsidRPr="00914426">
        <w:rPr>
          <w:color w:val="000000" w:themeColor="text1"/>
        </w:rPr>
        <w:t>Materials and Methods</w:t>
      </w:r>
    </w:p>
    <w:p w14:paraId="0DDFA578" w14:textId="77777777" w:rsidR="00141042" w:rsidRPr="00914426" w:rsidRDefault="00141042" w:rsidP="00141042">
      <w:pPr>
        <w:pStyle w:val="heading2"/>
        <w:spacing w:before="0"/>
        <w:rPr>
          <w:color w:val="000000" w:themeColor="text1"/>
        </w:rPr>
      </w:pPr>
      <w:r w:rsidRPr="00914426">
        <w:rPr>
          <w:color w:val="000000" w:themeColor="text1"/>
        </w:rPr>
        <w:t>Industrial Drying System and Study Framework</w:t>
      </w:r>
    </w:p>
    <w:p w14:paraId="6E18260C" w14:textId="23F94DAF" w:rsidR="00F60DDF" w:rsidRPr="00914426" w:rsidRDefault="00BC27ED" w:rsidP="002429F5">
      <w:pPr>
        <w:pStyle w:val="p1a"/>
        <w:ind w:firstLine="227"/>
        <w:rPr>
          <w:color w:val="000000" w:themeColor="text1"/>
        </w:rPr>
      </w:pPr>
      <w:r w:rsidRPr="00BC27ED">
        <w:rPr>
          <w:color w:val="548DD4" w:themeColor="text2" w:themeTint="99"/>
        </w:rPr>
        <w:t xml:space="preserve">In this study, the industrial drying system is a closed loop hot water circulation system. </w:t>
      </w:r>
      <w:r w:rsidR="00C6668A" w:rsidRPr="00914426">
        <w:rPr>
          <w:color w:val="000000" w:themeColor="text1"/>
        </w:rPr>
        <w:t>Hot water generated by the boiler is circulated within the distribution pipes and subsequently routed into the radiator installed inside the drying oven. Thermal energy from the hot water is then transferred to the air inside the oven and distributed using a blower. After passing through the radiator, the water is channeled back to the boiler to be reheated and recirculated. The drying ovens (1</w:t>
      </w:r>
      <w:r w:rsidR="00EE2028" w:rsidRPr="00914426">
        <w:rPr>
          <w:color w:val="000000" w:themeColor="text1"/>
        </w:rPr>
        <w:t>8</w:t>
      </w:r>
      <w:r w:rsidR="00C6668A" w:rsidRPr="00914426">
        <w:rPr>
          <w:color w:val="000000" w:themeColor="text1"/>
        </w:rPr>
        <w:t xml:space="preserve"> ovens) are operated at temperatures around 75–80 °C with a capacity of approximately 24,000 products per batch. </w:t>
      </w:r>
      <w:r w:rsidR="00F60DDF" w:rsidRPr="00914426">
        <w:rPr>
          <w:color w:val="000000" w:themeColor="text1"/>
        </w:rPr>
        <w:t>A schematic representation of the industrial drying system and hot-water circulation is shown in Fig. 1.</w:t>
      </w:r>
    </w:p>
    <w:p w14:paraId="1D4A8FF1" w14:textId="77777777" w:rsidR="00F60DDF" w:rsidRPr="00914426" w:rsidRDefault="00F60DDF" w:rsidP="00F60DDF">
      <w:pPr>
        <w:ind w:firstLine="0"/>
        <w:rPr>
          <w:color w:val="000000" w:themeColor="text1"/>
        </w:rPr>
      </w:pPr>
    </w:p>
    <w:p w14:paraId="46363E57" w14:textId="31A723E3" w:rsidR="00F60DDF" w:rsidRPr="00914426" w:rsidRDefault="00F60DDF" w:rsidP="00F60DDF">
      <w:pPr>
        <w:ind w:firstLine="0"/>
        <w:rPr>
          <w:color w:val="000000" w:themeColor="text1"/>
        </w:rPr>
      </w:pPr>
      <w:r w:rsidRPr="00914426">
        <w:rPr>
          <w:noProof/>
          <w:color w:val="000000" w:themeColor="text1"/>
        </w:rPr>
        <w:drawing>
          <wp:inline distT="0" distB="0" distL="0" distR="0" wp14:anchorId="50CD1924" wp14:editId="15C4BEE6">
            <wp:extent cx="4315930" cy="2873829"/>
            <wp:effectExtent l="0" t="0" r="2540" b="0"/>
            <wp:docPr id="2320587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058737"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4352711" cy="2898320"/>
                    </a:xfrm>
                    <a:prstGeom prst="rect">
                      <a:avLst/>
                    </a:prstGeom>
                  </pic:spPr>
                </pic:pic>
              </a:graphicData>
            </a:graphic>
          </wp:inline>
        </w:drawing>
      </w:r>
      <w:r w:rsidR="003C13C8" w:rsidRPr="00914426">
        <w:rPr>
          <w:b/>
          <w:bCs/>
          <w:color w:val="000000" w:themeColor="text1"/>
        </w:rPr>
        <w:t>F</w:t>
      </w:r>
      <w:r w:rsidRPr="00914426">
        <w:rPr>
          <w:b/>
          <w:bCs/>
          <w:color w:val="000000" w:themeColor="text1"/>
        </w:rPr>
        <w:t>ig. 1.</w:t>
      </w:r>
      <w:r w:rsidRPr="00914426">
        <w:rPr>
          <w:color w:val="000000" w:themeColor="text1"/>
        </w:rPr>
        <w:t xml:space="preserve"> Schematic representation of the industrial drying system and hot-water circulation.</w:t>
      </w:r>
    </w:p>
    <w:p w14:paraId="3C730A3D" w14:textId="77777777" w:rsidR="00F60DDF" w:rsidRPr="00914426" w:rsidRDefault="00F60DDF" w:rsidP="002429F5">
      <w:pPr>
        <w:pStyle w:val="p1a"/>
        <w:ind w:firstLine="227"/>
        <w:rPr>
          <w:color w:val="000000" w:themeColor="text1"/>
        </w:rPr>
      </w:pPr>
    </w:p>
    <w:p w14:paraId="57DBAEFB" w14:textId="2F787D7E" w:rsidR="00141042" w:rsidRPr="00914426" w:rsidRDefault="00C6668A" w:rsidP="002429F5">
      <w:pPr>
        <w:pStyle w:val="p1a"/>
        <w:ind w:firstLine="227"/>
        <w:rPr>
          <w:color w:val="000000" w:themeColor="text1"/>
        </w:rPr>
      </w:pPr>
      <w:r w:rsidRPr="00914426">
        <w:rPr>
          <w:color w:val="000000" w:themeColor="text1"/>
        </w:rPr>
        <w:t>The monitoring system is configured to characterize the drying environmental conditions and the thermal energy supplied through the hot water circulation. Air temperature and relative humidity inside the oven are monitored and recorded to represent the drying environmental conditions, while the inlet hot water temperature, outlet hot water temperature, and water flow rate are measured to calculate the thermal energy input to the oven. Monitoring points were selected to obtain the key physical parameters required for the thermal energy evaluation.</w:t>
      </w:r>
    </w:p>
    <w:p w14:paraId="769CD53F" w14:textId="77777777" w:rsidR="00141042" w:rsidRPr="00914426" w:rsidRDefault="00141042" w:rsidP="0091552D">
      <w:pPr>
        <w:ind w:firstLine="0"/>
        <w:rPr>
          <w:color w:val="000000" w:themeColor="text1"/>
        </w:rPr>
      </w:pPr>
    </w:p>
    <w:p w14:paraId="79ADC44D" w14:textId="77777777" w:rsidR="00141042" w:rsidRPr="00914426" w:rsidRDefault="00141042" w:rsidP="00141042">
      <w:pPr>
        <w:pStyle w:val="heading2"/>
        <w:spacing w:before="0"/>
        <w:rPr>
          <w:color w:val="000000" w:themeColor="text1"/>
        </w:rPr>
      </w:pPr>
      <w:r w:rsidRPr="00914426">
        <w:rPr>
          <w:color w:val="000000" w:themeColor="text1"/>
        </w:rPr>
        <w:t>IoT Instrumentation and Data Acquisition</w:t>
      </w:r>
    </w:p>
    <w:p w14:paraId="31231FD4" w14:textId="77777777" w:rsidR="003A54C3" w:rsidRPr="00914426" w:rsidRDefault="00C6668A" w:rsidP="003A54C3">
      <w:pPr>
        <w:overflowPunct/>
        <w:spacing w:after="240" w:line="240" w:lineRule="auto"/>
        <w:textAlignment w:val="auto"/>
        <w:rPr>
          <w:color w:val="000000" w:themeColor="text1"/>
        </w:rPr>
      </w:pPr>
      <w:r w:rsidRPr="00914426">
        <w:rPr>
          <w:color w:val="000000" w:themeColor="text1"/>
        </w:rPr>
        <w:t xml:space="preserve">The monitoring system integrates field measurement instruments with an ESP32-based data acquisition unit. The water temperature at the radiator inlet and outlet is measured using PT100 resistance temperature detectors (RTDs), while the hot water flow rate is measured using a vortex flow meter. </w:t>
      </w:r>
      <w:r w:rsidR="003A54C3" w:rsidRPr="00914426">
        <w:rPr>
          <w:color w:val="000000" w:themeColor="text1"/>
        </w:rPr>
        <w:t xml:space="preserve">The PT100 has a temperature error of ≤ ±0.5 °C, while the vortex flow meter has an accuracy of ±2.5% of the reading. </w:t>
      </w:r>
      <w:r w:rsidRPr="00914426">
        <w:rPr>
          <w:color w:val="000000" w:themeColor="text1"/>
        </w:rPr>
        <w:t>Air temperature and relative humidity inside the oven are monitored using a temperature–humidity sensor installed in the drying system. The measured parameters consist of oven air temperature, relative humidity, inlet hot water temperature (</w:t>
      </w:r>
      <w:r w:rsidRPr="00914426">
        <w:rPr>
          <w:i/>
          <w:iCs/>
          <w:color w:val="000000" w:themeColor="text1"/>
        </w:rPr>
        <w:t>T</w:t>
      </w:r>
      <w:r w:rsidRPr="00914426">
        <w:rPr>
          <w:i/>
          <w:iCs/>
          <w:color w:val="000000" w:themeColor="text1"/>
          <w:vertAlign w:val="subscript"/>
        </w:rPr>
        <w:t>in</w:t>
      </w:r>
      <w:r w:rsidRPr="00914426">
        <w:rPr>
          <w:color w:val="000000" w:themeColor="text1"/>
        </w:rPr>
        <w:t>), outlet hot water temperature (</w:t>
      </w:r>
      <w:r w:rsidRPr="00914426">
        <w:rPr>
          <w:i/>
          <w:iCs/>
          <w:color w:val="000000" w:themeColor="text1"/>
        </w:rPr>
        <w:t>T</w:t>
      </w:r>
      <w:r w:rsidRPr="00914426">
        <w:rPr>
          <w:i/>
          <w:iCs/>
          <w:color w:val="000000" w:themeColor="text1"/>
          <w:vertAlign w:val="subscript"/>
        </w:rPr>
        <w:t>out</w:t>
      </w:r>
      <w:r w:rsidRPr="00914426">
        <w:rPr>
          <w:color w:val="000000" w:themeColor="text1"/>
        </w:rPr>
        <w:t xml:space="preserve">), and water flow rate. </w:t>
      </w:r>
    </w:p>
    <w:p w14:paraId="3F48CEFD" w14:textId="6123A525" w:rsidR="00072220" w:rsidRPr="00914426" w:rsidRDefault="00C6668A" w:rsidP="003A54C3">
      <w:pPr>
        <w:overflowPunct/>
        <w:spacing w:after="240" w:line="240" w:lineRule="auto"/>
        <w:textAlignment w:val="auto"/>
        <w:rPr>
          <w:color w:val="000000" w:themeColor="text1"/>
        </w:rPr>
      </w:pPr>
      <w:r w:rsidRPr="00914426">
        <w:rPr>
          <w:color w:val="000000" w:themeColor="text1"/>
        </w:rPr>
        <w:t xml:space="preserve">Sensor data is acquired by the ESP32-based system and transferred to a computer </w:t>
      </w:r>
      <w:r w:rsidR="00A0492F" w:rsidRPr="00914426">
        <w:rPr>
          <w:color w:val="000000" w:themeColor="text1"/>
        </w:rPr>
        <w:t>at 27-min intevals, where it is continuously recorded using Microsoft Excel Data Streamer</w:t>
      </w:r>
      <w:r w:rsidRPr="00914426">
        <w:rPr>
          <w:color w:val="000000" w:themeColor="text1"/>
        </w:rPr>
        <w:t>. Power Automate is utilized to automate the data transfer and processing, while Power BI is used to visualize the monitored parameters along with their temporal changes. This architecture enables continuous acquisition and visualization of thermal operating parameters during the industrial drying process.</w:t>
      </w:r>
    </w:p>
    <w:p w14:paraId="4F18F280" w14:textId="77777777" w:rsidR="00141042" w:rsidRPr="00914426" w:rsidRDefault="00141042" w:rsidP="00141042">
      <w:pPr>
        <w:pStyle w:val="heading2"/>
        <w:spacing w:before="0"/>
        <w:rPr>
          <w:color w:val="000000" w:themeColor="text1"/>
        </w:rPr>
      </w:pPr>
      <w:r w:rsidRPr="00914426">
        <w:rPr>
          <w:color w:val="000000" w:themeColor="text1"/>
        </w:rPr>
        <w:t>Thermal Energy Requirement of the Drying Product</w:t>
      </w:r>
    </w:p>
    <w:p w14:paraId="054E1958" w14:textId="4606581F" w:rsidR="00072220" w:rsidRPr="00914426" w:rsidRDefault="00C6668A" w:rsidP="00072220">
      <w:pPr>
        <w:rPr>
          <w:color w:val="000000" w:themeColor="text1"/>
        </w:rPr>
      </w:pPr>
      <w:r w:rsidRPr="00914426">
        <w:rPr>
          <w:color w:val="000000" w:themeColor="text1"/>
        </w:rPr>
        <w:t>The theoretical thermal energy requirement of the product is estimated based on drying measurement results at the laboratory scale. The calculation considers two main energy components: sensible heat (</w:t>
      </w:r>
      <w:r w:rsidR="00F60DDF" w:rsidRPr="00914426">
        <w:rPr>
          <w:color w:val="000000" w:themeColor="text1"/>
        </w:rPr>
        <w:t xml:space="preserve">see </w:t>
      </w:r>
      <w:r w:rsidRPr="00914426">
        <w:rPr>
          <w:color w:val="000000" w:themeColor="text1"/>
        </w:rPr>
        <w:t>Eq</w:t>
      </w:r>
      <w:r w:rsidR="0091552D" w:rsidRPr="00914426">
        <w:rPr>
          <w:color w:val="000000" w:themeColor="text1"/>
        </w:rPr>
        <w:t>. 2</w:t>
      </w:r>
      <w:r w:rsidR="00F60DDF" w:rsidRPr="00914426">
        <w:rPr>
          <w:color w:val="000000" w:themeColor="text1"/>
        </w:rPr>
        <w:t>.</w:t>
      </w:r>
      <w:r w:rsidRPr="00914426">
        <w:rPr>
          <w:color w:val="000000" w:themeColor="text1"/>
        </w:rPr>
        <w:t>) required to raise the product temperature from the initial condition to the drying temperature, and latent heat (</w:t>
      </w:r>
      <w:r w:rsidR="00F60DDF" w:rsidRPr="00914426">
        <w:rPr>
          <w:color w:val="000000" w:themeColor="text1"/>
        </w:rPr>
        <w:t xml:space="preserve">see </w:t>
      </w:r>
      <w:r w:rsidRPr="00914426">
        <w:rPr>
          <w:color w:val="000000" w:themeColor="text1"/>
        </w:rPr>
        <w:t>Eq</w:t>
      </w:r>
      <w:r w:rsidR="0091552D" w:rsidRPr="00914426">
        <w:rPr>
          <w:color w:val="000000" w:themeColor="text1"/>
        </w:rPr>
        <w:t>. 2</w:t>
      </w:r>
      <w:r w:rsidR="00F60DDF" w:rsidRPr="00914426">
        <w:rPr>
          <w:color w:val="000000" w:themeColor="text1"/>
        </w:rPr>
        <w:t>.</w:t>
      </w:r>
      <w:r w:rsidRPr="00914426">
        <w:rPr>
          <w:color w:val="000000" w:themeColor="text1"/>
        </w:rPr>
        <w:t>) required to evaporate the moisture content. The total theoretical energy requirement is expressed as the sum of these two components (</w:t>
      </w:r>
      <w:r w:rsidR="00F60DDF" w:rsidRPr="00914426">
        <w:rPr>
          <w:color w:val="000000" w:themeColor="text1"/>
        </w:rPr>
        <w:t xml:space="preserve">see </w:t>
      </w:r>
      <w:r w:rsidRPr="00914426">
        <w:rPr>
          <w:color w:val="000000" w:themeColor="text1"/>
        </w:rPr>
        <w:t>Eq</w:t>
      </w:r>
      <w:r w:rsidR="0091552D" w:rsidRPr="00914426">
        <w:rPr>
          <w:color w:val="000000" w:themeColor="text1"/>
        </w:rPr>
        <w:t>. 3</w:t>
      </w:r>
      <w:r w:rsidR="00F60DDF" w:rsidRPr="00914426">
        <w:rPr>
          <w:color w:val="000000" w:themeColor="text1"/>
        </w:rPr>
        <w:t>.</w:t>
      </w:r>
      <w:r w:rsidRPr="00914426">
        <w:rPr>
          <w:color w:val="000000" w:themeColor="text1"/>
        </w:rPr>
        <w:t>)</w:t>
      </w:r>
      <w:r w:rsidR="00F60DDF" w:rsidRPr="00914426">
        <w:rPr>
          <w:color w:val="000000" w:themeColor="text1"/>
        </w:rPr>
        <w:t>.</w:t>
      </w:r>
      <w:r w:rsidR="002429F5" w:rsidRPr="00914426">
        <w:rPr>
          <w:color w:val="000000" w:themeColor="text1"/>
        </w:rPr>
        <w:t xml:space="preserve"> </w:t>
      </w:r>
    </w:p>
    <w:p w14:paraId="77CF3CF9" w14:textId="77777777" w:rsidR="003F6CFD" w:rsidRPr="00914426" w:rsidRDefault="00072220" w:rsidP="00072220">
      <w:pPr>
        <w:rPr>
          <w:color w:val="000000" w:themeColor="text1"/>
        </w:rPr>
      </w:pPr>
      <w:r w:rsidRPr="00914426">
        <w:rPr>
          <w:color w:val="000000" w:themeColor="text1"/>
        </w:rPr>
        <w:t xml:space="preserve"> </w:t>
      </w:r>
    </w:p>
    <w:tbl>
      <w:tblPr>
        <w:tblStyle w:val="TableGrid"/>
        <w:tblW w:w="6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1"/>
        <w:gridCol w:w="775"/>
      </w:tblGrid>
      <w:tr w:rsidR="00914426" w:rsidRPr="00914426" w14:paraId="4B59C82F" w14:textId="77777777" w:rsidTr="003F6CFD">
        <w:trPr>
          <w:trHeight w:val="397"/>
        </w:trPr>
        <w:tc>
          <w:tcPr>
            <w:tcW w:w="6091" w:type="dxa"/>
            <w:vAlign w:val="center"/>
          </w:tcPr>
          <w:p w14:paraId="1446F8B8" w14:textId="5C6294FE" w:rsidR="003F6CFD" w:rsidRPr="00914426" w:rsidRDefault="00213440" w:rsidP="003F6CFD">
            <w:pPr>
              <w:jc w:val="center"/>
              <w:rPr>
                <w:color w:val="000000" w:themeColor="text1"/>
              </w:rPr>
            </w:pPr>
            <m:oMathPara>
              <m:oMathParaPr>
                <m:jc m:val="center"/>
              </m:oMathParaPr>
              <m:oMath>
                <m:sSub>
                  <m:sSubPr>
                    <m:ctrlPr>
                      <w:rPr>
                        <w:rFonts w:ascii="Cambria Math" w:hAnsi="Cambria Math"/>
                        <w:i/>
                        <w:color w:val="000000" w:themeColor="text1"/>
                      </w:rPr>
                    </m:ctrlPr>
                  </m:sSubPr>
                  <m:e>
                    <m:r>
                      <w:rPr>
                        <w:rFonts w:ascii="Cambria Math" w:hAnsi="Cambria Math"/>
                        <w:color w:val="000000" w:themeColor="text1"/>
                      </w:rPr>
                      <m:t>Q</m:t>
                    </m:r>
                  </m:e>
                  <m:sub>
                    <m:r>
                      <w:rPr>
                        <w:rFonts w:ascii="Cambria Math" w:hAnsi="Cambria Math"/>
                        <w:color w:val="000000" w:themeColor="text1"/>
                      </w:rPr>
                      <m:t>theoretical</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Q</m:t>
                    </m:r>
                  </m:e>
                  <m:sub>
                    <m:r>
                      <w:rPr>
                        <w:rFonts w:ascii="Cambria Math" w:hAnsi="Cambria Math"/>
                        <w:color w:val="000000" w:themeColor="text1"/>
                      </w:rPr>
                      <m:t>sensible</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Q</m:t>
                    </m:r>
                  </m:e>
                  <m:sub>
                    <m:r>
                      <w:rPr>
                        <w:rFonts w:ascii="Cambria Math" w:hAnsi="Cambria Math"/>
                        <w:color w:val="000000" w:themeColor="text1"/>
                      </w:rPr>
                      <m:t>latent</m:t>
                    </m:r>
                  </m:sub>
                </m:sSub>
              </m:oMath>
            </m:oMathPara>
          </w:p>
        </w:tc>
        <w:tc>
          <w:tcPr>
            <w:tcW w:w="775" w:type="dxa"/>
            <w:vAlign w:val="center"/>
          </w:tcPr>
          <w:p w14:paraId="01C05A6D" w14:textId="52348DA9" w:rsidR="003F6CFD" w:rsidRPr="00914426" w:rsidRDefault="003F6CFD" w:rsidP="0091552D">
            <w:pPr>
              <w:ind w:firstLine="0"/>
              <w:jc w:val="right"/>
              <w:rPr>
                <w:color w:val="000000" w:themeColor="text1"/>
              </w:rPr>
            </w:pPr>
            <w:r w:rsidRPr="00914426">
              <w:rPr>
                <w:color w:val="000000" w:themeColor="text1"/>
              </w:rPr>
              <w:t>(1)</w:t>
            </w:r>
          </w:p>
        </w:tc>
      </w:tr>
      <w:tr w:rsidR="00914426" w:rsidRPr="00914426" w14:paraId="425B06C1" w14:textId="77777777" w:rsidTr="003F6CFD">
        <w:trPr>
          <w:trHeight w:val="397"/>
        </w:trPr>
        <w:tc>
          <w:tcPr>
            <w:tcW w:w="6091" w:type="dxa"/>
            <w:vAlign w:val="center"/>
          </w:tcPr>
          <w:p w14:paraId="4E61A2F2" w14:textId="5B098C59" w:rsidR="003F6CFD" w:rsidRPr="00914426" w:rsidRDefault="00213440" w:rsidP="003F6CFD">
            <w:pPr>
              <w:jc w:val="center"/>
              <w:rPr>
                <w:color w:val="000000" w:themeColor="text1"/>
              </w:rPr>
            </w:pPr>
            <m:oMathPara>
              <m:oMathParaPr>
                <m:jc m:val="center"/>
              </m:oMathParaPr>
              <m:oMath>
                <m:sSub>
                  <m:sSubPr>
                    <m:ctrlPr>
                      <w:rPr>
                        <w:rFonts w:ascii="Cambria Math" w:hAnsi="Cambria Math"/>
                        <w:i/>
                        <w:color w:val="000000" w:themeColor="text1"/>
                      </w:rPr>
                    </m:ctrlPr>
                  </m:sSubPr>
                  <m:e>
                    <m:r>
                      <w:rPr>
                        <w:rFonts w:ascii="Cambria Math" w:hAnsi="Cambria Math"/>
                        <w:color w:val="000000" w:themeColor="text1"/>
                      </w:rPr>
                      <m:t>Q</m:t>
                    </m:r>
                  </m:e>
                  <m:sub>
                    <m:r>
                      <w:rPr>
                        <w:rFonts w:ascii="Cambria Math" w:hAnsi="Cambria Math"/>
                        <w:color w:val="000000" w:themeColor="text1"/>
                      </w:rPr>
                      <m:t>sensible</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m</m:t>
                    </m:r>
                  </m:e>
                  <m:sub>
                    <m:r>
                      <w:rPr>
                        <w:rFonts w:ascii="Cambria Math" w:hAnsi="Cambria Math"/>
                        <w:color w:val="000000" w:themeColor="text1"/>
                      </w:rPr>
                      <m:t>p</m:t>
                    </m:r>
                  </m:sub>
                </m:sSub>
                <m:sSub>
                  <m:sSubPr>
                    <m:ctrlPr>
                      <w:rPr>
                        <w:rFonts w:ascii="Cambria Math" w:hAnsi="Cambria Math"/>
                        <w:i/>
                        <w:color w:val="000000" w:themeColor="text1"/>
                      </w:rPr>
                    </m:ctrlPr>
                  </m:sSubPr>
                  <m:e>
                    <m:r>
                      <w:rPr>
                        <w:rFonts w:ascii="Cambria Math" w:hAnsi="Cambria Math"/>
                        <w:color w:val="000000" w:themeColor="text1"/>
                      </w:rPr>
                      <m:t>c</m:t>
                    </m:r>
                  </m:e>
                  <m:sub>
                    <m:r>
                      <w:rPr>
                        <w:rFonts w:ascii="Cambria Math" w:hAnsi="Cambria Math"/>
                        <w:color w:val="000000" w:themeColor="text1"/>
                      </w:rPr>
                      <m:t>p</m:t>
                    </m:r>
                  </m:sub>
                </m:sSub>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d</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i</m:t>
                        </m:r>
                      </m:sub>
                    </m:sSub>
                  </m:e>
                </m:d>
              </m:oMath>
            </m:oMathPara>
          </w:p>
        </w:tc>
        <w:tc>
          <w:tcPr>
            <w:tcW w:w="775" w:type="dxa"/>
            <w:vAlign w:val="center"/>
          </w:tcPr>
          <w:p w14:paraId="12B4EFAA" w14:textId="6751684D" w:rsidR="003F6CFD" w:rsidRPr="00914426" w:rsidRDefault="003F6CFD" w:rsidP="0091552D">
            <w:pPr>
              <w:ind w:firstLine="0"/>
              <w:jc w:val="right"/>
              <w:rPr>
                <w:color w:val="000000" w:themeColor="text1"/>
              </w:rPr>
            </w:pPr>
            <w:r w:rsidRPr="00914426">
              <w:rPr>
                <w:color w:val="000000" w:themeColor="text1"/>
              </w:rPr>
              <w:t>(2)</w:t>
            </w:r>
          </w:p>
        </w:tc>
      </w:tr>
      <w:tr w:rsidR="003F6CFD" w:rsidRPr="00914426" w14:paraId="5A865E69" w14:textId="77777777" w:rsidTr="003F6CFD">
        <w:trPr>
          <w:trHeight w:val="397"/>
        </w:trPr>
        <w:tc>
          <w:tcPr>
            <w:tcW w:w="6091" w:type="dxa"/>
            <w:vAlign w:val="center"/>
          </w:tcPr>
          <w:p w14:paraId="391EE438" w14:textId="075B518F" w:rsidR="003F6CFD" w:rsidRPr="00914426" w:rsidRDefault="00213440" w:rsidP="003F6CFD">
            <w:pPr>
              <w:spacing w:line="240" w:lineRule="atLeast"/>
              <w:jc w:val="center"/>
              <w:rPr>
                <w:color w:val="000000" w:themeColor="text1"/>
              </w:rPr>
            </w:pPr>
            <m:oMathPara>
              <m:oMathParaPr>
                <m:jc m:val="center"/>
              </m:oMathParaPr>
              <m:oMath>
                <m:sSub>
                  <m:sSubPr>
                    <m:ctrlPr>
                      <w:rPr>
                        <w:rFonts w:ascii="Cambria Math" w:hAnsi="Cambria Math"/>
                        <w:i/>
                        <w:color w:val="000000" w:themeColor="text1"/>
                      </w:rPr>
                    </m:ctrlPr>
                  </m:sSubPr>
                  <m:e>
                    <m:r>
                      <w:rPr>
                        <w:rFonts w:ascii="Cambria Math" w:hAnsi="Cambria Math"/>
                        <w:color w:val="000000" w:themeColor="text1"/>
                      </w:rPr>
                      <m:t>Q</m:t>
                    </m:r>
                  </m:e>
                  <m:sub>
                    <m:r>
                      <w:rPr>
                        <w:rFonts w:ascii="Cambria Math" w:hAnsi="Cambria Math"/>
                        <w:color w:val="000000" w:themeColor="text1"/>
                      </w:rPr>
                      <m:t>latent</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m</m:t>
                    </m:r>
                  </m:e>
                  <m:sub>
                    <m:r>
                      <w:rPr>
                        <w:rFonts w:ascii="Cambria Math" w:hAnsi="Cambria Math"/>
                        <w:color w:val="000000" w:themeColor="text1"/>
                      </w:rPr>
                      <m:t>w</m:t>
                    </m:r>
                  </m:sub>
                </m:sSub>
                <m:sSub>
                  <m:sSubPr>
                    <m:ctrlPr>
                      <w:rPr>
                        <w:rFonts w:ascii="Cambria Math" w:hAnsi="Cambria Math"/>
                        <w:i/>
                        <w:color w:val="000000" w:themeColor="text1"/>
                      </w:rPr>
                    </m:ctrlPr>
                  </m:sSubPr>
                  <m:e>
                    <m:r>
                      <w:rPr>
                        <w:rFonts w:ascii="Cambria Math" w:hAnsi="Cambria Math"/>
                        <w:color w:val="000000" w:themeColor="text1"/>
                      </w:rPr>
                      <m:t>h</m:t>
                    </m:r>
                  </m:e>
                  <m:sub>
                    <m:r>
                      <w:rPr>
                        <w:rFonts w:ascii="Cambria Math" w:hAnsi="Cambria Math"/>
                        <w:color w:val="000000" w:themeColor="text1"/>
                      </w:rPr>
                      <m:t>fg</m:t>
                    </m:r>
                  </m:sub>
                </m:sSub>
              </m:oMath>
            </m:oMathPara>
          </w:p>
        </w:tc>
        <w:tc>
          <w:tcPr>
            <w:tcW w:w="775" w:type="dxa"/>
            <w:vAlign w:val="center"/>
          </w:tcPr>
          <w:p w14:paraId="71260478" w14:textId="1C45E27D" w:rsidR="003F6CFD" w:rsidRPr="00914426" w:rsidRDefault="003F6CFD" w:rsidP="0091552D">
            <w:pPr>
              <w:ind w:firstLine="0"/>
              <w:jc w:val="right"/>
              <w:rPr>
                <w:color w:val="000000" w:themeColor="text1"/>
              </w:rPr>
            </w:pPr>
            <w:r w:rsidRPr="00914426">
              <w:rPr>
                <w:color w:val="000000" w:themeColor="text1"/>
              </w:rPr>
              <w:t>(3)</w:t>
            </w:r>
          </w:p>
        </w:tc>
      </w:tr>
    </w:tbl>
    <w:p w14:paraId="202F04A9" w14:textId="0246F91B" w:rsidR="00072220" w:rsidRPr="00914426" w:rsidRDefault="00072220" w:rsidP="00072220">
      <w:pPr>
        <w:rPr>
          <w:color w:val="000000" w:themeColor="text1"/>
        </w:rPr>
      </w:pPr>
    </w:p>
    <w:p w14:paraId="46D28A01" w14:textId="019ADC81" w:rsidR="00072220" w:rsidRPr="00914426" w:rsidRDefault="00846783" w:rsidP="00072220">
      <w:pPr>
        <w:rPr>
          <w:color w:val="000000" w:themeColor="text1"/>
        </w:rPr>
      </w:pPr>
      <w:r w:rsidRPr="00914426">
        <w:rPr>
          <w:color w:val="000000" w:themeColor="text1"/>
        </w:rPr>
        <w:t xml:space="preserve">where </w:t>
      </w:r>
      <w:r w:rsidRPr="00914426">
        <w:rPr>
          <w:rFonts w:ascii="Cambria Math" w:hAnsi="Cambria Math"/>
          <w:i/>
          <w:color w:val="000000" w:themeColor="text1"/>
        </w:rPr>
        <w:t>Q</w:t>
      </w:r>
      <w:r w:rsidRPr="00914426">
        <w:rPr>
          <w:rFonts w:ascii="Cambria Math" w:hAnsi="Cambria Math"/>
          <w:i/>
          <w:color w:val="000000" w:themeColor="text1"/>
          <w:vertAlign w:val="subscript"/>
        </w:rPr>
        <w:t>theoretical</w:t>
      </w:r>
      <w:r w:rsidRPr="00914426">
        <w:rPr>
          <w:color w:val="000000" w:themeColor="text1"/>
        </w:rPr>
        <w:t xml:space="preserve"> is the total theoretical thermal energy requirement; </w:t>
      </w:r>
      <w:r w:rsidRPr="00914426">
        <w:rPr>
          <w:rFonts w:ascii="Cambria Math" w:hAnsi="Cambria Math"/>
          <w:i/>
          <w:color w:val="000000" w:themeColor="text1"/>
        </w:rPr>
        <w:t>Q</w:t>
      </w:r>
      <w:r w:rsidRPr="00914426">
        <w:rPr>
          <w:rFonts w:ascii="Cambria Math" w:hAnsi="Cambria Math"/>
          <w:i/>
          <w:color w:val="000000" w:themeColor="text1"/>
          <w:vertAlign w:val="subscript"/>
        </w:rPr>
        <w:t>sensible</w:t>
      </w:r>
      <w:r w:rsidRPr="00914426">
        <w:rPr>
          <w:color w:val="000000" w:themeColor="text1"/>
        </w:rPr>
        <w:t xml:space="preserve"> is the sensible heat required to increase the product temperature from its initial temperature to the drying temperature</w:t>
      </w:r>
      <w:r w:rsidR="003F6CFD" w:rsidRPr="00914426">
        <w:rPr>
          <w:color w:val="000000" w:themeColor="text1"/>
        </w:rPr>
        <w:t xml:space="preserve">; </w:t>
      </w:r>
      <w:r w:rsidRPr="00914426">
        <w:rPr>
          <w:rFonts w:ascii="Cambria Math" w:hAnsi="Cambria Math"/>
          <w:i/>
          <w:color w:val="000000" w:themeColor="text1"/>
        </w:rPr>
        <w:t>Q</w:t>
      </w:r>
      <w:r w:rsidRPr="00914426">
        <w:rPr>
          <w:rFonts w:ascii="Cambria Math" w:hAnsi="Cambria Math"/>
          <w:i/>
          <w:color w:val="000000" w:themeColor="text1"/>
          <w:vertAlign w:val="subscript"/>
        </w:rPr>
        <w:t>latent</w:t>
      </w:r>
      <w:r w:rsidRPr="00914426">
        <w:rPr>
          <w:color w:val="000000" w:themeColor="text1"/>
        </w:rPr>
        <w:t xml:space="preserve"> is the latent heat required for moisture evaporation from the product; </w:t>
      </w:r>
      <w:r w:rsidRPr="00914426">
        <w:rPr>
          <w:rFonts w:ascii="Cambria Math" w:hAnsi="Cambria Math"/>
          <w:i/>
          <w:color w:val="000000" w:themeColor="text1"/>
        </w:rPr>
        <w:t>m</w:t>
      </w:r>
      <w:r w:rsidRPr="00914426">
        <w:rPr>
          <w:rFonts w:ascii="Cambria Math" w:hAnsi="Cambria Math"/>
          <w:i/>
          <w:color w:val="000000" w:themeColor="text1"/>
          <w:vertAlign w:val="subscript"/>
        </w:rPr>
        <w:t>p</w:t>
      </w:r>
      <w:r w:rsidRPr="00914426">
        <w:rPr>
          <w:color w:val="000000" w:themeColor="text1"/>
        </w:rPr>
        <w:t xml:space="preserve"> is the mass of the product being dried; </w:t>
      </w:r>
      <w:r w:rsidRPr="00914426">
        <w:rPr>
          <w:rFonts w:ascii="Cambria Math" w:hAnsi="Cambria Math"/>
          <w:i/>
          <w:color w:val="000000" w:themeColor="text1"/>
        </w:rPr>
        <w:t>c</w:t>
      </w:r>
      <w:r w:rsidRPr="00914426">
        <w:rPr>
          <w:rFonts w:ascii="Cambria Math" w:hAnsi="Cambria Math"/>
          <w:i/>
          <w:color w:val="000000" w:themeColor="text1"/>
          <w:vertAlign w:val="subscript"/>
        </w:rPr>
        <w:t>p</w:t>
      </w:r>
      <w:r w:rsidRPr="00914426">
        <w:rPr>
          <w:color w:val="000000" w:themeColor="text1"/>
        </w:rPr>
        <w:t xml:space="preserve"> is the specific heat capacity of the product</w:t>
      </w:r>
      <w:r w:rsidR="003F6CFD" w:rsidRPr="00914426">
        <w:rPr>
          <w:color w:val="000000" w:themeColor="text1"/>
        </w:rPr>
        <w:t xml:space="preserve">; </w:t>
      </w:r>
      <w:r w:rsidRPr="00914426">
        <w:rPr>
          <w:rFonts w:ascii="Cambria Math" w:hAnsi="Cambria Math"/>
          <w:i/>
          <w:color w:val="000000" w:themeColor="text1"/>
        </w:rPr>
        <w:t>T</w:t>
      </w:r>
      <w:r w:rsidRPr="00914426">
        <w:rPr>
          <w:rFonts w:ascii="Cambria Math" w:hAnsi="Cambria Math"/>
          <w:i/>
          <w:color w:val="000000" w:themeColor="text1"/>
          <w:vertAlign w:val="subscript"/>
        </w:rPr>
        <w:t>d</w:t>
      </w:r>
      <w:r w:rsidRPr="00914426">
        <w:rPr>
          <w:color w:val="000000" w:themeColor="text1"/>
        </w:rPr>
        <w:t xml:space="preserve"> is the drying or final product temperature</w:t>
      </w:r>
      <w:r w:rsidR="003F6CFD" w:rsidRPr="00914426">
        <w:rPr>
          <w:color w:val="000000" w:themeColor="text1"/>
        </w:rPr>
        <w:t xml:space="preserve">; </w:t>
      </w:r>
      <w:r w:rsidRPr="00914426">
        <w:rPr>
          <w:rFonts w:ascii="Cambria Math" w:hAnsi="Cambria Math"/>
          <w:i/>
          <w:color w:val="000000" w:themeColor="text1"/>
        </w:rPr>
        <w:t>T</w:t>
      </w:r>
      <w:r w:rsidRPr="00914426">
        <w:rPr>
          <w:rFonts w:ascii="Cambria Math" w:hAnsi="Cambria Math"/>
          <w:i/>
          <w:color w:val="000000" w:themeColor="text1"/>
          <w:vertAlign w:val="subscript"/>
        </w:rPr>
        <w:t>i</w:t>
      </w:r>
      <w:r w:rsidRPr="00914426">
        <w:rPr>
          <w:color w:val="000000" w:themeColor="text1"/>
        </w:rPr>
        <w:t xml:space="preserve"> is the initial product temperature; </w:t>
      </w:r>
      <w:r w:rsidRPr="00914426">
        <w:rPr>
          <w:rFonts w:ascii="Cambria Math" w:hAnsi="Cambria Math"/>
          <w:i/>
          <w:color w:val="000000" w:themeColor="text1"/>
        </w:rPr>
        <w:t>m</w:t>
      </w:r>
      <w:r w:rsidRPr="00914426">
        <w:rPr>
          <w:rFonts w:ascii="Cambria Math" w:hAnsi="Cambria Math"/>
          <w:i/>
          <w:color w:val="000000" w:themeColor="text1"/>
          <w:vertAlign w:val="subscript"/>
        </w:rPr>
        <w:t>w</w:t>
      </w:r>
      <w:r w:rsidRPr="00914426">
        <w:rPr>
          <w:color w:val="000000" w:themeColor="text1"/>
        </w:rPr>
        <w:t xml:space="preserve"> is the mass of water evaporated from the product during drying; and </w:t>
      </w:r>
      <w:r w:rsidRPr="00914426">
        <w:rPr>
          <w:rFonts w:ascii="Cambria Math" w:hAnsi="Cambria Math"/>
          <w:i/>
          <w:color w:val="000000" w:themeColor="text1"/>
        </w:rPr>
        <w:t>h</w:t>
      </w:r>
      <w:r w:rsidRPr="00914426">
        <w:rPr>
          <w:rFonts w:ascii="Cambria Math" w:hAnsi="Cambria Math"/>
          <w:i/>
          <w:color w:val="000000" w:themeColor="text1"/>
          <w:vertAlign w:val="subscript"/>
        </w:rPr>
        <w:t>fg</w:t>
      </w:r>
      <w:r w:rsidRPr="00914426">
        <w:rPr>
          <w:color w:val="000000" w:themeColor="text1"/>
        </w:rPr>
        <w:t xml:space="preserve"> is the latent heat of vaporization of water.</w:t>
      </w:r>
    </w:p>
    <w:p w14:paraId="6F7BC0EC" w14:textId="6F6B7329" w:rsidR="00072220" w:rsidRPr="00914426" w:rsidRDefault="00072220" w:rsidP="00072220">
      <w:pPr>
        <w:rPr>
          <w:color w:val="000000" w:themeColor="text1"/>
        </w:rPr>
      </w:pPr>
    </w:p>
    <w:p w14:paraId="0B1C02AD" w14:textId="22BF8F2E" w:rsidR="00141042" w:rsidRPr="00914426" w:rsidRDefault="00BA2DDE" w:rsidP="00072220">
      <w:pPr>
        <w:rPr>
          <w:color w:val="000000" w:themeColor="text1"/>
        </w:rPr>
      </w:pPr>
      <w:r w:rsidRPr="00914426">
        <w:rPr>
          <w:color w:val="000000" w:themeColor="text1"/>
        </w:rPr>
        <w:t>In the laboratory-scale calculation, we used a single wet product unit (mosquito coil). The product's initial mass was 43.03 g, decreasing to 27.43 g after drying at 75°C from room temperature. The mass of water lost during this drying process was 15.60 g. We then used this mass to calculate the thermal energy at the laboratory scale, resulting in 4.83 kcal per coil; this figure comprised 0.52 kcal of sensible heat (the heat required to raise the water temperature from room temperature to 75°C) and 4.31 kcal associated with water evaporation. Using a linear approach, we determined the energy required to evaporate water from 24,000 product units—matching the industrial batch capacity—by multiplying the laboratory-scale energy requirement by the total number of products in a batch. The final product must meet industrial specifications, specifically a moisture content of 7.0–9.5%.</w:t>
      </w:r>
    </w:p>
    <w:p w14:paraId="4C9F6915" w14:textId="77777777" w:rsidR="00141042" w:rsidRPr="00914426" w:rsidRDefault="00141042" w:rsidP="00141042">
      <w:pPr>
        <w:rPr>
          <w:color w:val="000000" w:themeColor="text1"/>
        </w:rPr>
      </w:pPr>
    </w:p>
    <w:p w14:paraId="1A8F3A59" w14:textId="255E1B99" w:rsidR="00141042" w:rsidRPr="00914426" w:rsidRDefault="00141042" w:rsidP="00141042">
      <w:pPr>
        <w:pStyle w:val="heading2"/>
        <w:spacing w:before="0"/>
        <w:rPr>
          <w:color w:val="000000" w:themeColor="text1"/>
        </w:rPr>
      </w:pPr>
      <w:r w:rsidRPr="00914426">
        <w:rPr>
          <w:color w:val="000000" w:themeColor="text1"/>
        </w:rPr>
        <w:t>Actual Thermal Energy Supply</w:t>
      </w:r>
    </w:p>
    <w:p w14:paraId="720FA5FB" w14:textId="2627FFC5" w:rsidR="00EE3665" w:rsidRPr="00914426" w:rsidRDefault="00C6668A" w:rsidP="00EE3665">
      <w:pPr>
        <w:rPr>
          <w:color w:val="000000" w:themeColor="text1"/>
        </w:rPr>
      </w:pPr>
      <w:r w:rsidRPr="00914426">
        <w:rPr>
          <w:color w:val="000000" w:themeColor="text1"/>
        </w:rPr>
        <w:t xml:space="preserve">The actual thermal energy supplied to the drying oven is calculated based on continuously monitored hot water parameters. The rate of thermal energy released by the circulating water is determined based on the mass flow rate and the temperature difference between the inlet and outlet flows using the </w:t>
      </w:r>
      <w:r w:rsidR="0091552D" w:rsidRPr="00914426">
        <w:rPr>
          <w:color w:val="000000" w:themeColor="text1"/>
        </w:rPr>
        <w:t>E</w:t>
      </w:r>
      <w:r w:rsidRPr="00914426">
        <w:rPr>
          <w:color w:val="000000" w:themeColor="text1"/>
        </w:rPr>
        <w:t>q</w:t>
      </w:r>
      <w:r w:rsidR="00F60DDF" w:rsidRPr="00914426">
        <w:rPr>
          <w:color w:val="000000" w:themeColor="text1"/>
        </w:rPr>
        <w:t>.</w:t>
      </w:r>
      <w:r w:rsidR="0091552D" w:rsidRPr="00914426">
        <w:rPr>
          <w:color w:val="000000" w:themeColor="text1"/>
        </w:rPr>
        <w:t xml:space="preserve"> </w:t>
      </w:r>
      <w:r w:rsidR="00F60DDF" w:rsidRPr="00914426">
        <w:rPr>
          <w:color w:val="000000" w:themeColor="text1"/>
        </w:rPr>
        <w:t>4.</w:t>
      </w:r>
    </w:p>
    <w:tbl>
      <w:tblPr>
        <w:tblStyle w:val="TableGrid"/>
        <w:tblW w:w="6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1"/>
        <w:gridCol w:w="775"/>
      </w:tblGrid>
      <w:tr w:rsidR="003F6CFD" w:rsidRPr="00914426" w14:paraId="2CFCC5E3" w14:textId="77777777" w:rsidTr="00317088">
        <w:trPr>
          <w:trHeight w:val="397"/>
        </w:trPr>
        <w:tc>
          <w:tcPr>
            <w:tcW w:w="6091" w:type="dxa"/>
            <w:vAlign w:val="center"/>
          </w:tcPr>
          <w:p w14:paraId="3CD0E32D" w14:textId="3B223582" w:rsidR="003F6CFD" w:rsidRPr="00914426" w:rsidRDefault="00213440" w:rsidP="003F6CFD">
            <w:pPr>
              <w:spacing w:line="240" w:lineRule="atLeast"/>
              <w:rPr>
                <w:color w:val="000000" w:themeColor="text1"/>
              </w:rPr>
            </w:pPr>
            <m:oMathPara>
              <m:oMath>
                <m:sSub>
                  <m:sSubPr>
                    <m:ctrlPr>
                      <w:rPr>
                        <w:rFonts w:ascii="Cambria Math" w:hAnsi="Cambria Math"/>
                        <w:i/>
                        <w:color w:val="000000" w:themeColor="text1"/>
                      </w:rPr>
                    </m:ctrlPr>
                  </m:sSubPr>
                  <m:e>
                    <m:acc>
                      <m:accPr>
                        <m:chr m:val="̇"/>
                        <m:ctrlPr>
                          <w:rPr>
                            <w:rFonts w:ascii="Cambria Math" w:hAnsi="Cambria Math"/>
                            <w:i/>
                            <w:color w:val="000000" w:themeColor="text1"/>
                          </w:rPr>
                        </m:ctrlPr>
                      </m:accPr>
                      <m:e>
                        <m:r>
                          <w:rPr>
                            <w:rFonts w:ascii="Cambria Math" w:hAnsi="Cambria Math"/>
                            <w:color w:val="000000" w:themeColor="text1"/>
                          </w:rPr>
                          <m:t>Q</m:t>
                        </m:r>
                      </m:e>
                    </m:acc>
                  </m:e>
                  <m:sub>
                    <m:r>
                      <w:rPr>
                        <w:rFonts w:ascii="Cambria Math" w:hAnsi="Cambria Math"/>
                        <w:color w:val="000000" w:themeColor="text1"/>
                      </w:rPr>
                      <m:t>actual</m:t>
                    </m:r>
                  </m:sub>
                </m:sSub>
                <m:r>
                  <w:rPr>
                    <w:rFonts w:ascii="Cambria Math" w:hAnsi="Cambria Math"/>
                    <w:color w:val="000000" w:themeColor="text1"/>
                  </w:rPr>
                  <m:t xml:space="preserve">= </m:t>
                </m:r>
                <m:acc>
                  <m:accPr>
                    <m:chr m:val="̇"/>
                    <m:ctrlPr>
                      <w:rPr>
                        <w:rFonts w:ascii="Cambria Math" w:hAnsi="Cambria Math"/>
                        <w:i/>
                        <w:color w:val="000000" w:themeColor="text1"/>
                      </w:rPr>
                    </m:ctrlPr>
                  </m:accPr>
                  <m:e>
                    <m:r>
                      <w:rPr>
                        <w:rFonts w:ascii="Cambria Math" w:hAnsi="Cambria Math"/>
                        <w:color w:val="000000" w:themeColor="text1"/>
                      </w:rPr>
                      <m:t>m</m:t>
                    </m:r>
                  </m:e>
                </m:acc>
                <m:sSub>
                  <m:sSubPr>
                    <m:ctrlPr>
                      <w:rPr>
                        <w:rFonts w:ascii="Cambria Math" w:hAnsi="Cambria Math"/>
                        <w:i/>
                        <w:color w:val="000000" w:themeColor="text1"/>
                      </w:rPr>
                    </m:ctrlPr>
                  </m:sSubPr>
                  <m:e>
                    <m:r>
                      <w:rPr>
                        <w:rFonts w:ascii="Cambria Math" w:hAnsi="Cambria Math"/>
                        <w:color w:val="000000" w:themeColor="text1"/>
                      </w:rPr>
                      <m:t>C</m:t>
                    </m:r>
                  </m:e>
                  <m:sub>
                    <m:r>
                      <w:rPr>
                        <w:rFonts w:ascii="Cambria Math" w:hAnsi="Cambria Math"/>
                        <w:color w:val="000000" w:themeColor="text1"/>
                      </w:rPr>
                      <m:t>p</m:t>
                    </m:r>
                  </m:sub>
                </m:sSub>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in</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out</m:t>
                        </m:r>
                      </m:sub>
                    </m:sSub>
                  </m:e>
                </m:d>
              </m:oMath>
            </m:oMathPara>
          </w:p>
        </w:tc>
        <w:tc>
          <w:tcPr>
            <w:tcW w:w="775" w:type="dxa"/>
            <w:vAlign w:val="center"/>
          </w:tcPr>
          <w:p w14:paraId="34A8060C" w14:textId="0E4DAF04" w:rsidR="003F6CFD" w:rsidRPr="00914426" w:rsidRDefault="003F6CFD" w:rsidP="0091552D">
            <w:pPr>
              <w:ind w:firstLine="0"/>
              <w:jc w:val="right"/>
              <w:rPr>
                <w:color w:val="000000" w:themeColor="text1"/>
              </w:rPr>
            </w:pPr>
            <w:r w:rsidRPr="00914426">
              <w:rPr>
                <w:color w:val="000000" w:themeColor="text1"/>
              </w:rPr>
              <w:t>(4)</w:t>
            </w:r>
          </w:p>
        </w:tc>
      </w:tr>
    </w:tbl>
    <w:p w14:paraId="5F52A96A" w14:textId="77777777" w:rsidR="00846783" w:rsidRPr="00914426" w:rsidRDefault="00846783" w:rsidP="00EE3665">
      <w:pPr>
        <w:rPr>
          <w:color w:val="000000" w:themeColor="text1"/>
        </w:rPr>
      </w:pPr>
    </w:p>
    <w:p w14:paraId="5D5F877E" w14:textId="28301C94" w:rsidR="00EE3665" w:rsidRPr="00914426" w:rsidRDefault="00C6668A" w:rsidP="00EE3665">
      <w:pPr>
        <w:rPr>
          <w:color w:val="000000" w:themeColor="text1"/>
        </w:rPr>
      </w:pPr>
      <w:r w:rsidRPr="00914426">
        <w:rPr>
          <w:color w:val="000000" w:themeColor="text1"/>
        </w:rPr>
        <w:t xml:space="preserve">Where </w:t>
      </w:r>
      <m:oMath>
        <m:sSub>
          <m:sSubPr>
            <m:ctrlPr>
              <w:rPr>
                <w:rFonts w:ascii="Cambria Math" w:hAnsi="Cambria Math"/>
                <w:i/>
                <w:color w:val="000000" w:themeColor="text1"/>
              </w:rPr>
            </m:ctrlPr>
          </m:sSubPr>
          <m:e>
            <m:acc>
              <m:accPr>
                <m:chr m:val="̇"/>
                <m:ctrlPr>
                  <w:rPr>
                    <w:rFonts w:ascii="Cambria Math" w:hAnsi="Cambria Math"/>
                    <w:i/>
                    <w:color w:val="000000" w:themeColor="text1"/>
                  </w:rPr>
                </m:ctrlPr>
              </m:accPr>
              <m:e>
                <m:r>
                  <w:rPr>
                    <w:rFonts w:ascii="Cambria Math" w:hAnsi="Cambria Math"/>
                    <w:color w:val="000000" w:themeColor="text1"/>
                  </w:rPr>
                  <m:t>Q</m:t>
                </m:r>
              </m:e>
            </m:acc>
          </m:e>
          <m:sub>
            <m:r>
              <w:rPr>
                <w:rFonts w:ascii="Cambria Math" w:hAnsi="Cambria Math"/>
                <w:color w:val="000000" w:themeColor="text1"/>
              </w:rPr>
              <m:t>actual</m:t>
            </m:r>
          </m:sub>
        </m:sSub>
      </m:oMath>
      <w:r w:rsidR="003F6CFD" w:rsidRPr="00914426">
        <w:rPr>
          <w:color w:val="000000" w:themeColor="text1"/>
        </w:rPr>
        <w:t xml:space="preserve"> </w:t>
      </w:r>
      <w:r w:rsidRPr="00914426">
        <w:rPr>
          <w:color w:val="000000" w:themeColor="text1"/>
        </w:rPr>
        <w:t>is the thermal energy rate</w:t>
      </w:r>
      <w:r w:rsidR="00EE3665" w:rsidRPr="00914426">
        <w:rPr>
          <w:color w:val="000000" w:themeColor="text1"/>
        </w:rPr>
        <w:t xml:space="preserve">, </w:t>
      </w:r>
      <m:oMath>
        <m:acc>
          <m:accPr>
            <m:chr m:val="̇"/>
            <m:ctrlPr>
              <w:rPr>
                <w:rFonts w:ascii="Cambria Math" w:hAnsi="Cambria Math"/>
                <w:i/>
                <w:color w:val="000000" w:themeColor="text1"/>
              </w:rPr>
            </m:ctrlPr>
          </m:accPr>
          <m:e>
            <m:r>
              <w:rPr>
                <w:rFonts w:ascii="Cambria Math" w:hAnsi="Cambria Math"/>
                <w:color w:val="000000" w:themeColor="text1"/>
              </w:rPr>
              <m:t>m</m:t>
            </m:r>
          </m:e>
        </m:acc>
      </m:oMath>
      <w:r w:rsidRPr="00914426">
        <w:rPr>
          <w:color w:val="000000" w:themeColor="text1"/>
        </w:rPr>
        <w:t xml:space="preserve"> is the mass flow rate of hot water, </w:t>
      </w:r>
      <w:r w:rsidR="00EE3665" w:rsidRPr="00914426">
        <w:rPr>
          <w:i/>
          <w:iCs/>
          <w:color w:val="000000" w:themeColor="text1"/>
        </w:rPr>
        <w:t>C</w:t>
      </w:r>
      <w:r w:rsidR="00EE3665" w:rsidRPr="00914426">
        <w:rPr>
          <w:i/>
          <w:iCs/>
          <w:color w:val="000000" w:themeColor="text1"/>
          <w:vertAlign w:val="subscript"/>
        </w:rPr>
        <w:t>p</w:t>
      </w:r>
      <w:r w:rsidR="00EE3665" w:rsidRPr="00914426">
        <w:rPr>
          <w:color w:val="000000" w:themeColor="text1"/>
        </w:rPr>
        <w:t xml:space="preserve"> </w:t>
      </w:r>
      <w:r w:rsidRPr="00914426">
        <w:rPr>
          <w:color w:val="000000" w:themeColor="text1"/>
        </w:rPr>
        <w:t xml:space="preserve">is the specific heat capacity of water, while </w:t>
      </w:r>
      <w:r w:rsidR="00EE3665" w:rsidRPr="00914426">
        <w:rPr>
          <w:i/>
          <w:iCs/>
          <w:color w:val="000000" w:themeColor="text1"/>
        </w:rPr>
        <w:t>T</w:t>
      </w:r>
      <w:r w:rsidR="00EE3665" w:rsidRPr="00914426">
        <w:rPr>
          <w:i/>
          <w:iCs/>
          <w:color w:val="000000" w:themeColor="text1"/>
          <w:vertAlign w:val="subscript"/>
        </w:rPr>
        <w:t>in</w:t>
      </w:r>
      <w:r w:rsidR="00EE3665" w:rsidRPr="00914426">
        <w:rPr>
          <w:color w:val="000000" w:themeColor="text1"/>
        </w:rPr>
        <w:t xml:space="preserve"> </w:t>
      </w:r>
      <w:r w:rsidRPr="00914426">
        <w:rPr>
          <w:color w:val="000000" w:themeColor="text1"/>
        </w:rPr>
        <w:t xml:space="preserve">and </w:t>
      </w:r>
      <w:r w:rsidR="00EE3665" w:rsidRPr="00914426">
        <w:rPr>
          <w:i/>
          <w:iCs/>
          <w:color w:val="000000" w:themeColor="text1"/>
        </w:rPr>
        <w:t>T</w:t>
      </w:r>
      <w:r w:rsidR="00EE3665" w:rsidRPr="00914426">
        <w:rPr>
          <w:i/>
          <w:iCs/>
          <w:color w:val="000000" w:themeColor="text1"/>
          <w:vertAlign w:val="subscript"/>
        </w:rPr>
        <w:t>out</w:t>
      </w:r>
      <w:r w:rsidR="00EE3665" w:rsidRPr="00914426">
        <w:rPr>
          <w:color w:val="000000" w:themeColor="text1"/>
        </w:rPr>
        <w:t xml:space="preserve"> </w:t>
      </w:r>
      <w:r w:rsidRPr="00914426">
        <w:rPr>
          <w:color w:val="000000" w:themeColor="text1"/>
        </w:rPr>
        <w:t>represent the inlet and outlet water temperatures, respectively. This calculation is applied to the monitored data to obtain the temporal profile of the thermal energy supplied during industrial operations</w:t>
      </w:r>
      <w:r w:rsidR="00EE3665" w:rsidRPr="00914426">
        <w:rPr>
          <w:color w:val="000000" w:themeColor="text1"/>
        </w:rPr>
        <w:t>.</w:t>
      </w:r>
    </w:p>
    <w:p w14:paraId="766F4965" w14:textId="77777777" w:rsidR="00072220" w:rsidRPr="00914426" w:rsidRDefault="00072220" w:rsidP="0091552D">
      <w:pPr>
        <w:ind w:firstLine="0"/>
        <w:rPr>
          <w:color w:val="000000" w:themeColor="text1"/>
        </w:rPr>
      </w:pPr>
    </w:p>
    <w:p w14:paraId="33FD8F2B" w14:textId="77777777" w:rsidR="00141042" w:rsidRPr="00914426" w:rsidRDefault="00141042" w:rsidP="00141042">
      <w:pPr>
        <w:pStyle w:val="heading2"/>
        <w:spacing w:before="0"/>
        <w:rPr>
          <w:color w:val="000000" w:themeColor="text1"/>
        </w:rPr>
      </w:pPr>
      <w:r w:rsidRPr="00914426">
        <w:rPr>
          <w:color w:val="000000" w:themeColor="text1"/>
        </w:rPr>
        <w:t>Thermal Performance Assessment</w:t>
      </w:r>
    </w:p>
    <w:p w14:paraId="5E307B1F" w14:textId="4A69B491" w:rsidR="00EE3665" w:rsidRPr="00914426" w:rsidRDefault="00C6668A" w:rsidP="003F6CFD">
      <w:pPr>
        <w:rPr>
          <w:color w:val="000000" w:themeColor="text1"/>
        </w:rPr>
      </w:pPr>
      <w:r w:rsidRPr="00914426">
        <w:rPr>
          <w:color w:val="000000" w:themeColor="text1"/>
        </w:rPr>
        <w:t>The thermal performance is evaluated by comparing the actual thermal energy supplied by the hot water circulation with the theoretical energy requirement of the product</w:t>
      </w:r>
      <w:r w:rsidR="00771A31" w:rsidRPr="00914426">
        <w:rPr>
          <w:color w:val="000000" w:themeColor="text1"/>
        </w:rPr>
        <w:t xml:space="preserve"> </w:t>
      </w:r>
      <w:r w:rsidR="00771A31" w:rsidRPr="00914426">
        <w:rPr>
          <w:color w:val="000000" w:themeColor="text1"/>
        </w:rPr>
        <w:fldChar w:fldCharType="begin" w:fldLock="1"/>
      </w:r>
      <w:r w:rsidR="00771A31" w:rsidRPr="00914426">
        <w:rPr>
          <w:color w:val="000000" w:themeColor="text1"/>
        </w:rPr>
        <w:instrText>ADDIN CSL_CITATION {"citationItems":[{"id":"ITEM-1","itemData":{"DOI":"10.13044/j.sdewes.d10.0428","ISSN":"18489257","author":[{"dropping-particle":"","family":"Valdivia Nodal","given":"Yarelis","non-dropping-particle":"","parse-names":false,"suffix":""},{"dropping-particle":"","family":"Hernandez Herrera","given":"Hernan","non-dropping-particle":"","parse-names":false,"suffix":""},{"dropping-particle":"","family":"Reyes Calvo","given":"Roy","non-dropping-particle":"","parse-names":false,"suffix":""},{"dropping-particle":"","family":"Álvarez Guerra","given":"Mario","non-dropping-particle":"","parse-names":false,"suffix":""},{"dropping-particle":"","family":"Silva","given":"Jorge","non-dropping-particle":"","parse-names":false,"suffix":""},{"dropping-particle":"","family":"Santana Justiz","given":"Miguel","non-dropping-particle":"","parse-names":false,"suffix":""},{"dropping-particle":"","family":"Hernandez Herrera","given":"Hernan","non-dropping-particle":"","parse-names":false,"suffix":""}],"container-title":"Journal of Sustainable Development of Energy, Water and Environment Systems","id":"ITEM-1","issue":"1","issued":{"date-parts":[["2023","3"]]},"page":"1-15","title":"Energetic analysis in a hot water system: A hotel facility case study","type":"article-journal","volume":"11"},"uris":["http://www.mendeley.com/documents/?uuid=d4679835-1059-484a-9379-663031ba9c29"]}],"mendeley":{"formattedCitation":"[7]","plainTextFormattedCitation":"[7]","previouslyFormattedCitation":"[7]"},"properties":{"noteIndex":0},"schema":"https://github.com/citation-style-language/schema/raw/master/csl-citation.json"}</w:instrText>
      </w:r>
      <w:r w:rsidR="00771A31" w:rsidRPr="00914426">
        <w:rPr>
          <w:color w:val="000000" w:themeColor="text1"/>
        </w:rPr>
        <w:fldChar w:fldCharType="separate"/>
      </w:r>
      <w:r w:rsidR="00771A31" w:rsidRPr="00914426">
        <w:rPr>
          <w:noProof/>
          <w:color w:val="000000" w:themeColor="text1"/>
        </w:rPr>
        <w:t>[7]</w:t>
      </w:r>
      <w:r w:rsidR="00771A31" w:rsidRPr="00914426">
        <w:rPr>
          <w:color w:val="000000" w:themeColor="text1"/>
        </w:rPr>
        <w:fldChar w:fldCharType="end"/>
      </w:r>
      <w:r w:rsidRPr="00914426">
        <w:rPr>
          <w:color w:val="000000" w:themeColor="text1"/>
        </w:rPr>
        <w:t>. The difference between these two values in this study is defined as the thermal energy gap</w:t>
      </w:r>
      <w:r w:rsidR="0091552D" w:rsidRPr="00914426">
        <w:rPr>
          <w:color w:val="000000" w:themeColor="text1"/>
        </w:rPr>
        <w:t xml:space="preserve"> (</w:t>
      </w:r>
      <w:r w:rsidR="00F60DDF" w:rsidRPr="00914426">
        <w:rPr>
          <w:color w:val="000000" w:themeColor="text1"/>
        </w:rPr>
        <w:t xml:space="preserve">see </w:t>
      </w:r>
      <w:r w:rsidR="0091552D" w:rsidRPr="00914426">
        <w:rPr>
          <w:color w:val="000000" w:themeColor="text1"/>
        </w:rPr>
        <w:t>Eq. 5</w:t>
      </w:r>
      <w:r w:rsidR="00F60DDF" w:rsidRPr="00914426">
        <w:rPr>
          <w:color w:val="000000" w:themeColor="text1"/>
        </w:rPr>
        <w:t>.</w:t>
      </w:r>
      <w:r w:rsidR="0091552D" w:rsidRPr="00914426">
        <w:rPr>
          <w:color w:val="000000" w:themeColor="text1"/>
        </w:rPr>
        <w:t>)</w:t>
      </w:r>
      <w:r w:rsidRPr="00914426">
        <w:rPr>
          <w:color w:val="000000" w:themeColor="text1"/>
        </w:rPr>
        <w:t>:</w:t>
      </w:r>
    </w:p>
    <w:p w14:paraId="42D25D20" w14:textId="77777777" w:rsidR="0091552D" w:rsidRPr="00914426" w:rsidRDefault="0091552D" w:rsidP="003F6CFD">
      <w:pPr>
        <w:rPr>
          <w:color w:val="000000" w:themeColor="text1"/>
        </w:rPr>
      </w:pPr>
    </w:p>
    <w:tbl>
      <w:tblPr>
        <w:tblStyle w:val="TableGrid"/>
        <w:tblW w:w="6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1"/>
        <w:gridCol w:w="775"/>
      </w:tblGrid>
      <w:tr w:rsidR="0091552D" w:rsidRPr="00914426" w14:paraId="7360634E" w14:textId="77777777" w:rsidTr="00317088">
        <w:trPr>
          <w:trHeight w:val="397"/>
        </w:trPr>
        <w:tc>
          <w:tcPr>
            <w:tcW w:w="6091" w:type="dxa"/>
            <w:vAlign w:val="center"/>
          </w:tcPr>
          <w:p w14:paraId="29E14678" w14:textId="696DC0A6" w:rsidR="0091552D" w:rsidRPr="00914426" w:rsidRDefault="0091552D" w:rsidP="0091552D">
            <w:pPr>
              <w:rPr>
                <w:color w:val="000000" w:themeColor="text1"/>
              </w:rPr>
            </w:pPr>
            <m:oMathPara>
              <m:oMath>
                <m:r>
                  <m:rPr>
                    <m:sty m:val="p"/>
                  </m:rPr>
                  <w:rPr>
                    <w:rFonts w:ascii="Cambria Math" w:hAnsi="Cambria Math"/>
                    <w:color w:val="000000" w:themeColor="text1"/>
                  </w:rPr>
                  <m:t>Δ</m:t>
                </m:r>
                <m:acc>
                  <m:accPr>
                    <m:chr m:val="̇"/>
                    <m:ctrlPr>
                      <w:rPr>
                        <w:rFonts w:ascii="Cambria Math" w:hAnsi="Cambria Math"/>
                        <w:i/>
                        <w:color w:val="000000" w:themeColor="text1"/>
                      </w:rPr>
                    </m:ctrlPr>
                  </m:accPr>
                  <m:e>
                    <m:r>
                      <w:rPr>
                        <w:rFonts w:ascii="Cambria Math" w:hAnsi="Cambria Math"/>
                        <w:color w:val="000000" w:themeColor="text1"/>
                      </w:rPr>
                      <m:t>Q</m:t>
                    </m:r>
                  </m:e>
                </m:acc>
                <m:r>
                  <w:rPr>
                    <w:rFonts w:ascii="Cambria Math" w:hAnsi="Cambria Math"/>
                    <w:color w:val="000000" w:themeColor="text1"/>
                  </w:rPr>
                  <m:t>=</m:t>
                </m:r>
                <m:sSub>
                  <m:sSubPr>
                    <m:ctrlPr>
                      <w:rPr>
                        <w:rFonts w:ascii="Cambria Math" w:hAnsi="Cambria Math"/>
                        <w:i/>
                        <w:color w:val="000000" w:themeColor="text1"/>
                      </w:rPr>
                    </m:ctrlPr>
                  </m:sSubPr>
                  <m:e>
                    <m:acc>
                      <m:accPr>
                        <m:chr m:val="̇"/>
                        <m:ctrlPr>
                          <w:rPr>
                            <w:rFonts w:ascii="Cambria Math" w:hAnsi="Cambria Math"/>
                            <w:i/>
                            <w:color w:val="000000" w:themeColor="text1"/>
                          </w:rPr>
                        </m:ctrlPr>
                      </m:accPr>
                      <m:e>
                        <m:r>
                          <w:rPr>
                            <w:rFonts w:ascii="Cambria Math" w:hAnsi="Cambria Math"/>
                            <w:color w:val="000000" w:themeColor="text1"/>
                          </w:rPr>
                          <m:t>Q</m:t>
                        </m:r>
                      </m:e>
                    </m:acc>
                  </m:e>
                  <m:sub>
                    <m:r>
                      <w:rPr>
                        <w:rFonts w:ascii="Cambria Math" w:hAnsi="Cambria Math"/>
                        <w:color w:val="000000" w:themeColor="text1"/>
                      </w:rPr>
                      <m:t>actual</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Q</m:t>
                    </m:r>
                  </m:e>
                  <m:sub>
                    <m:r>
                      <w:rPr>
                        <w:rFonts w:ascii="Cambria Math" w:hAnsi="Cambria Math"/>
                        <w:color w:val="000000" w:themeColor="text1"/>
                      </w:rPr>
                      <m:t>theoretical</m:t>
                    </m:r>
                  </m:sub>
                </m:sSub>
              </m:oMath>
            </m:oMathPara>
          </w:p>
        </w:tc>
        <w:tc>
          <w:tcPr>
            <w:tcW w:w="775" w:type="dxa"/>
            <w:vAlign w:val="center"/>
          </w:tcPr>
          <w:p w14:paraId="42593559" w14:textId="25000D8C" w:rsidR="0091552D" w:rsidRPr="00914426" w:rsidRDefault="0091552D" w:rsidP="0091552D">
            <w:pPr>
              <w:ind w:firstLine="0"/>
              <w:jc w:val="right"/>
              <w:rPr>
                <w:color w:val="000000" w:themeColor="text1"/>
              </w:rPr>
            </w:pPr>
            <w:r w:rsidRPr="00914426">
              <w:rPr>
                <w:color w:val="000000" w:themeColor="text1"/>
              </w:rPr>
              <w:t>(5)</w:t>
            </w:r>
          </w:p>
        </w:tc>
      </w:tr>
    </w:tbl>
    <w:p w14:paraId="11755CFE" w14:textId="77777777" w:rsidR="003F6CFD" w:rsidRPr="00914426" w:rsidRDefault="003F6CFD" w:rsidP="003F6CFD">
      <w:pPr>
        <w:rPr>
          <w:color w:val="000000" w:themeColor="text1"/>
        </w:rPr>
      </w:pPr>
    </w:p>
    <w:p w14:paraId="1CD0897E" w14:textId="68BE26BE" w:rsidR="00EE3665" w:rsidRPr="00914426" w:rsidRDefault="00C6668A" w:rsidP="00C24DEF">
      <w:pPr>
        <w:rPr>
          <w:color w:val="000000" w:themeColor="text1"/>
        </w:rPr>
      </w:pPr>
      <w:r w:rsidRPr="00914426">
        <w:rPr>
          <w:color w:val="000000" w:themeColor="text1"/>
        </w:rPr>
        <w:t xml:space="preserve">The relative thermal energy gap is calculated using the </w:t>
      </w:r>
      <w:r w:rsidR="0091552D" w:rsidRPr="00914426">
        <w:rPr>
          <w:color w:val="000000" w:themeColor="text1"/>
        </w:rPr>
        <w:t>E</w:t>
      </w:r>
      <w:r w:rsidRPr="00914426">
        <w:rPr>
          <w:color w:val="000000" w:themeColor="text1"/>
        </w:rPr>
        <w:t>q</w:t>
      </w:r>
      <w:r w:rsidR="00F60DDF" w:rsidRPr="00914426">
        <w:rPr>
          <w:color w:val="000000" w:themeColor="text1"/>
        </w:rPr>
        <w:t xml:space="preserve">. </w:t>
      </w:r>
      <w:r w:rsidR="0091552D" w:rsidRPr="00914426">
        <w:rPr>
          <w:color w:val="000000" w:themeColor="text1"/>
        </w:rPr>
        <w:t>6</w:t>
      </w:r>
      <w:r w:rsidR="00F60DDF" w:rsidRPr="00914426">
        <w:rPr>
          <w:color w:val="000000" w:themeColor="text1"/>
        </w:rPr>
        <w:t>.</w:t>
      </w:r>
    </w:p>
    <w:p w14:paraId="767278CC" w14:textId="77777777" w:rsidR="0091552D" w:rsidRPr="00914426" w:rsidRDefault="0091552D" w:rsidP="00C24DEF">
      <w:pPr>
        <w:rPr>
          <w:color w:val="000000" w:themeColor="text1"/>
        </w:rPr>
      </w:pPr>
    </w:p>
    <w:tbl>
      <w:tblPr>
        <w:tblStyle w:val="TableGrid"/>
        <w:tblW w:w="6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1"/>
        <w:gridCol w:w="775"/>
      </w:tblGrid>
      <w:tr w:rsidR="0091552D" w:rsidRPr="00914426" w14:paraId="73E405C1" w14:textId="77777777" w:rsidTr="00317088">
        <w:trPr>
          <w:trHeight w:val="397"/>
        </w:trPr>
        <w:tc>
          <w:tcPr>
            <w:tcW w:w="6091" w:type="dxa"/>
            <w:vAlign w:val="center"/>
          </w:tcPr>
          <w:p w14:paraId="1DFBC5A6" w14:textId="526EF446" w:rsidR="0091552D" w:rsidRPr="00914426" w:rsidRDefault="0091552D" w:rsidP="00317088">
            <w:pPr>
              <w:rPr>
                <w:color w:val="000000" w:themeColor="text1"/>
              </w:rPr>
            </w:pPr>
            <m:oMathPara>
              <m:oMath>
                <m:r>
                  <m:rPr>
                    <m:sty m:val="p"/>
                  </m:rPr>
                  <w:rPr>
                    <w:rFonts w:ascii="Cambria Math" w:hAnsi="Cambria Math"/>
                    <w:color w:val="000000" w:themeColor="text1"/>
                  </w:rPr>
                  <m:t>Thermal energy gap</m:t>
                </m:r>
                <m:r>
                  <m:rPr>
                    <m:sty m:val="p"/>
                  </m:rPr>
                  <w:rPr>
                    <w:rFonts w:ascii="Cambria Math"/>
                    <w:color w:val="000000" w:themeColor="text1"/>
                  </w:rPr>
                  <m:t>=</m:t>
                </m:r>
                <m:f>
                  <m:fPr>
                    <m:ctrlPr>
                      <w:rPr>
                        <w:rFonts w:ascii="Cambria Math" w:hAnsi="Cambria Math"/>
                        <w:i/>
                        <w:color w:val="000000" w:themeColor="text1"/>
                      </w:rPr>
                    </m:ctrlPr>
                  </m:fPr>
                  <m:num>
                    <m:r>
                      <w:rPr>
                        <w:rFonts w:ascii="Cambria Math" w:hAnsi="Cambria Math"/>
                        <w:color w:val="000000" w:themeColor="text1"/>
                      </w:rPr>
                      <m:t>∆</m:t>
                    </m:r>
                    <m:acc>
                      <m:accPr>
                        <m:chr m:val="̇"/>
                        <m:ctrlPr>
                          <w:rPr>
                            <w:rFonts w:ascii="Cambria Math" w:hAnsi="Cambria Math"/>
                            <w:i/>
                            <w:color w:val="000000" w:themeColor="text1"/>
                          </w:rPr>
                        </m:ctrlPr>
                      </m:accPr>
                      <m:e>
                        <m:r>
                          <w:rPr>
                            <w:rFonts w:ascii="Cambria Math" w:hAnsi="Cambria Math"/>
                            <w:color w:val="000000" w:themeColor="text1"/>
                          </w:rPr>
                          <m:t>Q</m:t>
                        </m:r>
                      </m:e>
                    </m:acc>
                  </m:num>
                  <m:den>
                    <m:sSub>
                      <m:sSubPr>
                        <m:ctrlPr>
                          <w:rPr>
                            <w:rFonts w:ascii="Cambria Math" w:hAnsi="Cambria Math"/>
                            <w:i/>
                            <w:color w:val="000000" w:themeColor="text1"/>
                          </w:rPr>
                        </m:ctrlPr>
                      </m:sSubPr>
                      <m:e>
                        <m:acc>
                          <m:accPr>
                            <m:chr m:val="̇"/>
                            <m:ctrlPr>
                              <w:rPr>
                                <w:rFonts w:ascii="Cambria Math" w:hAnsi="Cambria Math"/>
                                <w:i/>
                                <w:color w:val="000000" w:themeColor="text1"/>
                              </w:rPr>
                            </m:ctrlPr>
                          </m:accPr>
                          <m:e>
                            <m:r>
                              <w:rPr>
                                <w:rFonts w:ascii="Cambria Math" w:hAnsi="Cambria Math"/>
                                <w:color w:val="000000" w:themeColor="text1"/>
                              </w:rPr>
                              <m:t>Q</m:t>
                            </m:r>
                          </m:e>
                        </m:acc>
                      </m:e>
                      <m:sub>
                        <m:r>
                          <w:rPr>
                            <w:rFonts w:ascii="Cambria Math" w:hAnsi="Cambria Math"/>
                            <w:color w:val="000000" w:themeColor="text1"/>
                          </w:rPr>
                          <m:t>actual</m:t>
                        </m:r>
                      </m:sub>
                    </m:sSub>
                  </m:den>
                </m:f>
                <m:r>
                  <w:rPr>
                    <w:rFonts w:ascii="Cambria Math" w:hAnsi="Cambria Math"/>
                    <w:color w:val="000000" w:themeColor="text1"/>
                  </w:rPr>
                  <m:t>×100%</m:t>
                </m:r>
              </m:oMath>
            </m:oMathPara>
          </w:p>
        </w:tc>
        <w:tc>
          <w:tcPr>
            <w:tcW w:w="775" w:type="dxa"/>
            <w:vAlign w:val="center"/>
          </w:tcPr>
          <w:p w14:paraId="5EDA3304" w14:textId="75D21B52" w:rsidR="0091552D" w:rsidRPr="00914426" w:rsidRDefault="0091552D" w:rsidP="0091552D">
            <w:pPr>
              <w:ind w:firstLine="0"/>
              <w:jc w:val="right"/>
              <w:rPr>
                <w:color w:val="000000" w:themeColor="text1"/>
              </w:rPr>
            </w:pPr>
            <w:r w:rsidRPr="00914426">
              <w:rPr>
                <w:color w:val="000000" w:themeColor="text1"/>
              </w:rPr>
              <w:t>(6)</w:t>
            </w:r>
          </w:p>
        </w:tc>
      </w:tr>
    </w:tbl>
    <w:p w14:paraId="2C42E945" w14:textId="77777777" w:rsidR="0091552D" w:rsidRPr="00914426" w:rsidRDefault="0091552D" w:rsidP="00C24DEF">
      <w:pPr>
        <w:rPr>
          <w:color w:val="000000" w:themeColor="text1"/>
        </w:rPr>
      </w:pPr>
    </w:p>
    <w:p w14:paraId="62684611" w14:textId="45B79095" w:rsidR="00EE3665" w:rsidRPr="00914426" w:rsidRDefault="00C6668A" w:rsidP="00C24DEF">
      <w:pPr>
        <w:rPr>
          <w:color w:val="000000" w:themeColor="text1"/>
        </w:rPr>
      </w:pPr>
      <w:r w:rsidRPr="00914426">
        <w:rPr>
          <w:color w:val="000000" w:themeColor="text1"/>
        </w:rPr>
        <w:t>A positive value indicates that the monitored thermal energy supply is greater than the theoretical energy requirement of the product, whereas a negative value indicates that the monitored thermal energy supply is below the theoretical reference value. The thermal energy gap is used as an evaluation indicator and is not entirely interpreted as heat loss, as the thermal energy contributions to heating the air inside the oven, trays, structural components, as well as the energy carried away through the exhaust air and lost to the ambient environment, are not quantified separately in this study.</w:t>
      </w:r>
    </w:p>
    <w:p w14:paraId="04C213F7" w14:textId="77777777" w:rsidR="00D97F96" w:rsidRPr="00914426" w:rsidRDefault="00D97F96" w:rsidP="00C24DEF">
      <w:pPr>
        <w:rPr>
          <w:color w:val="000000" w:themeColor="text1"/>
        </w:rPr>
      </w:pPr>
    </w:p>
    <w:p w14:paraId="68EDAA37" w14:textId="010EA8A9" w:rsidR="00D97F96" w:rsidRPr="00914426" w:rsidRDefault="00D97F96" w:rsidP="00D97F96">
      <w:pPr>
        <w:pStyle w:val="heading2"/>
        <w:spacing w:before="0"/>
        <w:rPr>
          <w:color w:val="000000" w:themeColor="text1"/>
        </w:rPr>
      </w:pPr>
      <w:r w:rsidRPr="00914426">
        <w:rPr>
          <w:color w:val="000000" w:themeColor="text1"/>
        </w:rPr>
        <w:t>Measurement Uncertainty Analysis</w:t>
      </w:r>
    </w:p>
    <w:p w14:paraId="4369202E" w14:textId="6B907E4D" w:rsidR="00D97F96" w:rsidRPr="00914426" w:rsidRDefault="00D97F96" w:rsidP="00D97F96">
      <w:pPr>
        <w:rPr>
          <w:color w:val="000000" w:themeColor="text1"/>
        </w:rPr>
      </w:pPr>
      <w:r w:rsidRPr="00914426">
        <w:rPr>
          <w:color w:val="000000" w:themeColor="text1"/>
        </w:rPr>
        <w:t>The uncertainty in thermal energy supply is calculated through the propagation of measurement uncertainties associated with the hot water flow rate and the inlet-outlet temperature difference. The parameters include the PT100 temperature measurement error (±0.5°C) and the vortex flow meter error (±2.5% of the reading). Assuming independent measurement uncertainties, the uncertainty in the inlet-outlet temperature difference</w:t>
      </w:r>
      <w:r w:rsidR="00071559" w:rsidRPr="00914426">
        <w:rPr>
          <w:color w:val="000000" w:themeColor="text1"/>
        </w:rPr>
        <w:t xml:space="preserve"> (</w:t>
      </w:r>
      <m:oMath>
        <m:sSub>
          <m:sSubPr>
            <m:ctrlPr>
              <w:rPr>
                <w:rFonts w:ascii="Cambria Math" w:hAnsi="Cambria Math"/>
                <w:i/>
                <w:color w:val="000000" w:themeColor="text1"/>
              </w:rPr>
            </m:ctrlPr>
          </m:sSubPr>
          <m:e>
            <m:r>
              <w:rPr>
                <w:rFonts w:ascii="Cambria Math" w:hAnsi="Cambria Math"/>
                <w:color w:val="000000" w:themeColor="text1"/>
              </w:rPr>
              <m:t>u</m:t>
            </m:r>
          </m:e>
          <m:sub>
            <m:r>
              <w:rPr>
                <w:rFonts w:ascii="Cambria Math" w:hAnsi="Cambria Math"/>
                <w:color w:val="000000" w:themeColor="text1"/>
              </w:rPr>
              <m:t>∆T</m:t>
            </m:r>
          </m:sub>
        </m:sSub>
      </m:oMath>
      <w:r w:rsidR="00071559" w:rsidRPr="00914426">
        <w:rPr>
          <w:color w:val="000000" w:themeColor="text1"/>
        </w:rPr>
        <w:t>)</w:t>
      </w:r>
      <w:r w:rsidRPr="00914426">
        <w:rPr>
          <w:color w:val="000000" w:themeColor="text1"/>
        </w:rPr>
        <w:t xml:space="preserve"> is calculated as follows</w:t>
      </w:r>
      <w:r w:rsidR="00FD25F3" w:rsidRPr="00914426">
        <w:rPr>
          <w:color w:val="000000" w:themeColor="text1"/>
        </w:rPr>
        <w:t xml:space="preserve"> (Eq. 7).</w:t>
      </w:r>
    </w:p>
    <w:p w14:paraId="3BF686F2" w14:textId="77777777" w:rsidR="00FD25F3" w:rsidRPr="00914426" w:rsidRDefault="00FD25F3" w:rsidP="00D97F96">
      <w:pPr>
        <w:rPr>
          <w:color w:val="000000" w:themeColor="text1"/>
        </w:rPr>
      </w:pPr>
    </w:p>
    <w:tbl>
      <w:tblPr>
        <w:tblStyle w:val="TableGrid"/>
        <w:tblW w:w="6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1"/>
        <w:gridCol w:w="775"/>
      </w:tblGrid>
      <w:tr w:rsidR="00FD25F3" w:rsidRPr="00914426" w14:paraId="78EA13DD" w14:textId="77777777" w:rsidTr="00280ABF">
        <w:trPr>
          <w:trHeight w:val="397"/>
        </w:trPr>
        <w:tc>
          <w:tcPr>
            <w:tcW w:w="6091" w:type="dxa"/>
            <w:vAlign w:val="center"/>
          </w:tcPr>
          <w:p w14:paraId="4786E692" w14:textId="4609BD3D" w:rsidR="00FD25F3" w:rsidRPr="00914426" w:rsidRDefault="00213440" w:rsidP="00280ABF">
            <w:pPr>
              <w:rPr>
                <w:color w:val="000000" w:themeColor="text1"/>
              </w:rPr>
            </w:pPr>
            <m:oMathPara>
              <m:oMath>
                <m:sSub>
                  <m:sSubPr>
                    <m:ctrlPr>
                      <w:rPr>
                        <w:rFonts w:ascii="Cambria Math" w:hAnsi="Cambria Math"/>
                        <w:i/>
                        <w:color w:val="000000" w:themeColor="text1"/>
                      </w:rPr>
                    </m:ctrlPr>
                  </m:sSubPr>
                  <m:e>
                    <m:r>
                      <w:rPr>
                        <w:rFonts w:ascii="Cambria Math" w:hAnsi="Cambria Math"/>
                        <w:color w:val="000000" w:themeColor="text1"/>
                      </w:rPr>
                      <m:t>u</m:t>
                    </m:r>
                  </m:e>
                  <m:sub>
                    <m:r>
                      <w:rPr>
                        <w:rFonts w:ascii="Cambria Math" w:hAnsi="Cambria Math"/>
                        <w:color w:val="000000" w:themeColor="text1"/>
                      </w:rPr>
                      <m:t>∆T</m:t>
                    </m:r>
                  </m:sub>
                </m:sSub>
                <m:r>
                  <w:rPr>
                    <w:rFonts w:ascii="Cambria Math" w:hAnsi="Cambria Math"/>
                    <w:color w:val="000000" w:themeColor="text1"/>
                  </w:rPr>
                  <m:t>=</m:t>
                </m:r>
                <m:rad>
                  <m:radPr>
                    <m:degHide m:val="1"/>
                    <m:ctrlPr>
                      <w:rPr>
                        <w:rFonts w:ascii="Cambria Math" w:hAnsi="Cambria Math"/>
                        <w:i/>
                        <w:color w:val="000000" w:themeColor="text1"/>
                      </w:rPr>
                    </m:ctrlPr>
                  </m:radPr>
                  <m:deg/>
                  <m:e>
                    <m:sSubSup>
                      <m:sSubSupPr>
                        <m:ctrlPr>
                          <w:rPr>
                            <w:rFonts w:ascii="Cambria Math" w:hAnsi="Cambria Math"/>
                            <w:i/>
                            <w:color w:val="000000" w:themeColor="text1"/>
                          </w:rPr>
                        </m:ctrlPr>
                      </m:sSubSupPr>
                      <m:e>
                        <m:r>
                          <w:rPr>
                            <w:rFonts w:ascii="Cambria Math" w:hAnsi="Cambria Math"/>
                            <w:color w:val="000000" w:themeColor="text1"/>
                          </w:rPr>
                          <m:t>u</m:t>
                        </m:r>
                      </m:e>
                      <m:sub>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in</m:t>
                            </m:r>
                          </m:sub>
                        </m:sSub>
                      </m:sub>
                      <m:sup>
                        <m:r>
                          <w:rPr>
                            <w:rFonts w:ascii="Cambria Math" w:hAnsi="Cambria Math"/>
                            <w:color w:val="000000" w:themeColor="text1"/>
                          </w:rPr>
                          <m:t>2</m:t>
                        </m:r>
                      </m:sup>
                    </m:sSubSup>
                    <m:r>
                      <w:rPr>
                        <w:rFonts w:ascii="Cambria Math" w:hAnsi="Cambria Math"/>
                        <w:color w:val="000000" w:themeColor="text1"/>
                      </w:rPr>
                      <m:t>+</m:t>
                    </m:r>
                    <m:sSubSup>
                      <m:sSubSupPr>
                        <m:ctrlPr>
                          <w:rPr>
                            <w:rFonts w:ascii="Cambria Math" w:hAnsi="Cambria Math"/>
                            <w:i/>
                            <w:color w:val="000000" w:themeColor="text1"/>
                          </w:rPr>
                        </m:ctrlPr>
                      </m:sSubSupPr>
                      <m:e>
                        <m:r>
                          <w:rPr>
                            <w:rFonts w:ascii="Cambria Math" w:hAnsi="Cambria Math"/>
                            <w:color w:val="000000" w:themeColor="text1"/>
                          </w:rPr>
                          <m:t>u</m:t>
                        </m:r>
                      </m:e>
                      <m:sub>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out</m:t>
                            </m:r>
                          </m:sub>
                        </m:sSub>
                      </m:sub>
                      <m:sup>
                        <m:r>
                          <w:rPr>
                            <w:rFonts w:ascii="Cambria Math" w:hAnsi="Cambria Math"/>
                            <w:color w:val="000000" w:themeColor="text1"/>
                          </w:rPr>
                          <m:t>2</m:t>
                        </m:r>
                      </m:sup>
                    </m:sSubSup>
                  </m:e>
                </m:rad>
              </m:oMath>
            </m:oMathPara>
          </w:p>
        </w:tc>
        <w:tc>
          <w:tcPr>
            <w:tcW w:w="775" w:type="dxa"/>
            <w:vAlign w:val="center"/>
          </w:tcPr>
          <w:p w14:paraId="1D484775" w14:textId="671D5A79" w:rsidR="00FD25F3" w:rsidRPr="00914426" w:rsidRDefault="00FD25F3" w:rsidP="00280ABF">
            <w:pPr>
              <w:ind w:firstLine="0"/>
              <w:jc w:val="right"/>
              <w:rPr>
                <w:color w:val="000000" w:themeColor="text1"/>
              </w:rPr>
            </w:pPr>
            <w:r w:rsidRPr="00914426">
              <w:rPr>
                <w:color w:val="000000" w:themeColor="text1"/>
              </w:rPr>
              <w:t>(7)</w:t>
            </w:r>
          </w:p>
        </w:tc>
      </w:tr>
    </w:tbl>
    <w:p w14:paraId="2C925403" w14:textId="77777777" w:rsidR="00FD25F3" w:rsidRPr="00914426" w:rsidRDefault="00FD25F3" w:rsidP="00D97F96">
      <w:pPr>
        <w:rPr>
          <w:color w:val="000000" w:themeColor="text1"/>
        </w:rPr>
      </w:pPr>
    </w:p>
    <w:p w14:paraId="5153FD2D" w14:textId="28E8F5C9" w:rsidR="00FD25F3" w:rsidRPr="00914426" w:rsidRDefault="00FD25F3" w:rsidP="00D97F96">
      <w:pPr>
        <w:rPr>
          <w:color w:val="000000" w:themeColor="text1"/>
        </w:rPr>
      </w:pPr>
      <w:r w:rsidRPr="00914426">
        <w:rPr>
          <w:color w:val="000000" w:themeColor="text1"/>
        </w:rPr>
        <w:t xml:space="preserve">Where </w:t>
      </w:r>
      <m:oMath>
        <m:sSub>
          <m:sSubPr>
            <m:ctrlPr>
              <w:rPr>
                <w:rFonts w:ascii="Cambria Math" w:hAnsi="Cambria Math"/>
                <w:i/>
                <w:color w:val="000000" w:themeColor="text1"/>
              </w:rPr>
            </m:ctrlPr>
          </m:sSubPr>
          <m:e>
            <m:r>
              <w:rPr>
                <w:rFonts w:ascii="Cambria Math" w:hAnsi="Cambria Math"/>
                <w:color w:val="000000" w:themeColor="text1"/>
              </w:rPr>
              <m:t>u</m:t>
            </m:r>
          </m:e>
          <m:sub>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in</m:t>
                </m:r>
              </m:sub>
            </m:sSub>
          </m:sub>
        </m:sSub>
      </m:oMath>
      <w:r w:rsidRPr="00914426">
        <w:rPr>
          <w:color w:val="000000" w:themeColor="text1"/>
        </w:rPr>
        <w:t xml:space="preserve">dan </w:t>
      </w:r>
      <m:oMath>
        <m:sSub>
          <m:sSubPr>
            <m:ctrlPr>
              <w:rPr>
                <w:rFonts w:ascii="Cambria Math" w:hAnsi="Cambria Math"/>
                <w:i/>
                <w:color w:val="000000" w:themeColor="text1"/>
              </w:rPr>
            </m:ctrlPr>
          </m:sSubPr>
          <m:e>
            <m:r>
              <w:rPr>
                <w:rFonts w:ascii="Cambria Math" w:hAnsi="Cambria Math"/>
                <w:color w:val="000000" w:themeColor="text1"/>
              </w:rPr>
              <m:t>u</m:t>
            </m:r>
          </m:e>
          <m:sub>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out</m:t>
                </m:r>
              </m:sub>
            </m:sSub>
          </m:sub>
        </m:sSub>
      </m:oMath>
      <w:r w:rsidRPr="00914426">
        <w:rPr>
          <w:color w:val="000000" w:themeColor="text1"/>
        </w:rPr>
        <w:t xml:space="preserve"> are the uncertainties of the inlet and outlet temperature measurements, respectively. For uncertainty of thermal energy supply calculation </w:t>
      </w:r>
      <w:r w:rsidR="007612EB" w:rsidRPr="00914426">
        <w:rPr>
          <w:color w:val="000000" w:themeColor="text1"/>
        </w:rPr>
        <w:t>(</w:t>
      </w:r>
      <m:oMath>
        <m:sSub>
          <m:sSubPr>
            <m:ctrlPr>
              <w:rPr>
                <w:rFonts w:ascii="Cambria Math" w:hAnsi="Cambria Math"/>
                <w:i/>
                <w:color w:val="000000" w:themeColor="text1"/>
              </w:rPr>
            </m:ctrlPr>
          </m:sSubPr>
          <m:e>
            <m:r>
              <w:rPr>
                <w:rFonts w:ascii="Cambria Math" w:hAnsi="Cambria Math"/>
                <w:color w:val="000000" w:themeColor="text1"/>
              </w:rPr>
              <m:t>u</m:t>
            </m:r>
          </m:e>
          <m:sub>
            <m:acc>
              <m:accPr>
                <m:chr m:val="̇"/>
                <m:ctrlPr>
                  <w:rPr>
                    <w:rFonts w:ascii="Cambria Math" w:hAnsi="Cambria Math"/>
                    <w:i/>
                    <w:color w:val="000000" w:themeColor="text1"/>
                  </w:rPr>
                </m:ctrlPr>
              </m:accPr>
              <m:e>
                <m:r>
                  <w:rPr>
                    <w:rFonts w:ascii="Cambria Math" w:hAnsi="Cambria Math"/>
                    <w:color w:val="000000" w:themeColor="text1"/>
                  </w:rPr>
                  <m:t>Q</m:t>
                </m:r>
              </m:e>
            </m:acc>
          </m:sub>
        </m:sSub>
      </m:oMath>
      <w:r w:rsidR="007612EB" w:rsidRPr="00914426">
        <w:rPr>
          <w:color w:val="000000" w:themeColor="text1"/>
        </w:rPr>
        <w:t xml:space="preserve">) </w:t>
      </w:r>
      <w:r w:rsidRPr="00914426">
        <w:rPr>
          <w:color w:val="000000" w:themeColor="text1"/>
        </w:rPr>
        <w:t>was estimated using Eq. 8.</w:t>
      </w:r>
    </w:p>
    <w:p w14:paraId="5792A85A" w14:textId="0CE53CA3" w:rsidR="00FD25F3" w:rsidRPr="00914426" w:rsidRDefault="00FD25F3" w:rsidP="00D97F96">
      <w:pPr>
        <w:rPr>
          <w:color w:val="000000" w:themeColor="text1"/>
        </w:rPr>
      </w:pPr>
      <w:r w:rsidRPr="00914426">
        <w:rPr>
          <w:color w:val="000000" w:themeColor="text1"/>
        </w:rPr>
        <w:t xml:space="preserve"> </w:t>
      </w:r>
    </w:p>
    <w:tbl>
      <w:tblPr>
        <w:tblStyle w:val="TableGrid"/>
        <w:tblW w:w="6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1"/>
        <w:gridCol w:w="775"/>
      </w:tblGrid>
      <w:tr w:rsidR="00FD25F3" w:rsidRPr="00914426" w14:paraId="69F3C158" w14:textId="77777777" w:rsidTr="00280ABF">
        <w:trPr>
          <w:trHeight w:val="397"/>
        </w:trPr>
        <w:tc>
          <w:tcPr>
            <w:tcW w:w="6091" w:type="dxa"/>
            <w:vAlign w:val="center"/>
          </w:tcPr>
          <w:p w14:paraId="37B00D77" w14:textId="1C8BA9A5" w:rsidR="00FD25F3" w:rsidRPr="00914426" w:rsidRDefault="00213440" w:rsidP="00280ABF">
            <w:pPr>
              <w:rPr>
                <w:color w:val="000000" w:themeColor="text1"/>
              </w:rPr>
            </w:pPr>
            <m:oMathPara>
              <m:oMath>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u</m:t>
                        </m:r>
                      </m:e>
                      <m:sub>
                        <m:acc>
                          <m:accPr>
                            <m:chr m:val="̇"/>
                            <m:ctrlPr>
                              <w:rPr>
                                <w:rFonts w:ascii="Cambria Math" w:hAnsi="Cambria Math"/>
                                <w:i/>
                                <w:color w:val="000000" w:themeColor="text1"/>
                              </w:rPr>
                            </m:ctrlPr>
                          </m:accPr>
                          <m:e>
                            <m:r>
                              <w:rPr>
                                <w:rFonts w:ascii="Cambria Math" w:hAnsi="Cambria Math"/>
                                <w:color w:val="000000" w:themeColor="text1"/>
                              </w:rPr>
                              <m:t>Q</m:t>
                            </m:r>
                          </m:e>
                        </m:acc>
                      </m:sub>
                    </m:sSub>
                  </m:num>
                  <m:den>
                    <m:acc>
                      <m:accPr>
                        <m:chr m:val="̇"/>
                        <m:ctrlPr>
                          <w:rPr>
                            <w:rFonts w:ascii="Cambria Math" w:hAnsi="Cambria Math"/>
                            <w:i/>
                            <w:color w:val="000000" w:themeColor="text1"/>
                          </w:rPr>
                        </m:ctrlPr>
                      </m:accPr>
                      <m:e>
                        <m:r>
                          <w:rPr>
                            <w:rFonts w:ascii="Cambria Math" w:hAnsi="Cambria Math"/>
                            <w:color w:val="000000" w:themeColor="text1"/>
                          </w:rPr>
                          <m:t>Q</m:t>
                        </m:r>
                      </m:e>
                    </m:acc>
                  </m:den>
                </m:f>
                <m:r>
                  <w:rPr>
                    <w:rFonts w:ascii="Cambria Math" w:hAnsi="Cambria Math"/>
                    <w:color w:val="000000" w:themeColor="text1"/>
                  </w:rPr>
                  <m:t>=</m:t>
                </m:r>
                <m:rad>
                  <m:radPr>
                    <m:degHide m:val="1"/>
                    <m:ctrlPr>
                      <w:rPr>
                        <w:rFonts w:ascii="Cambria Math" w:hAnsi="Cambria Math"/>
                        <w:i/>
                        <w:color w:val="000000" w:themeColor="text1"/>
                      </w:rPr>
                    </m:ctrlPr>
                  </m:radPr>
                  <m:deg/>
                  <m:e>
                    <m:sSup>
                      <m:sSupPr>
                        <m:ctrlPr>
                          <w:rPr>
                            <w:rFonts w:ascii="Cambria Math" w:hAnsi="Cambria Math"/>
                            <w:i/>
                            <w:color w:val="000000" w:themeColor="text1"/>
                          </w:rPr>
                        </m:ctrlPr>
                      </m:sSupPr>
                      <m:e>
                        <m:d>
                          <m:dPr>
                            <m:ctrlPr>
                              <w:rPr>
                                <w:rFonts w:ascii="Cambria Math" w:hAnsi="Cambria Math"/>
                                <w:i/>
                                <w:color w:val="000000" w:themeColor="text1"/>
                              </w:rPr>
                            </m:ctrlPr>
                          </m:dPr>
                          <m:e>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u</m:t>
                                    </m:r>
                                  </m:e>
                                  <m:sub>
                                    <m:acc>
                                      <m:accPr>
                                        <m:chr m:val="̇"/>
                                        <m:ctrlPr>
                                          <w:rPr>
                                            <w:rFonts w:ascii="Cambria Math" w:hAnsi="Cambria Math"/>
                                            <w:i/>
                                            <w:color w:val="000000" w:themeColor="text1"/>
                                          </w:rPr>
                                        </m:ctrlPr>
                                      </m:accPr>
                                      <m:e>
                                        <m:r>
                                          <w:rPr>
                                            <w:rFonts w:ascii="Cambria Math" w:hAnsi="Cambria Math"/>
                                            <w:color w:val="000000" w:themeColor="text1"/>
                                          </w:rPr>
                                          <m:t>m</m:t>
                                        </m:r>
                                      </m:e>
                                    </m:acc>
                                  </m:sub>
                                </m:sSub>
                              </m:num>
                              <m:den>
                                <m:acc>
                                  <m:accPr>
                                    <m:chr m:val="̇"/>
                                    <m:ctrlPr>
                                      <w:rPr>
                                        <w:rFonts w:ascii="Cambria Math" w:hAnsi="Cambria Math"/>
                                        <w:i/>
                                        <w:color w:val="000000" w:themeColor="text1"/>
                                      </w:rPr>
                                    </m:ctrlPr>
                                  </m:accPr>
                                  <m:e>
                                    <m:r>
                                      <w:rPr>
                                        <w:rFonts w:ascii="Cambria Math" w:hAnsi="Cambria Math"/>
                                        <w:color w:val="000000" w:themeColor="text1"/>
                                      </w:rPr>
                                      <m:t>m</m:t>
                                    </m:r>
                                  </m:e>
                                </m:acc>
                              </m:den>
                            </m:f>
                          </m:e>
                        </m:d>
                      </m:e>
                      <m:sup>
                        <m:r>
                          <w:rPr>
                            <w:rFonts w:ascii="Cambria Math" w:hAnsi="Cambria Math"/>
                            <w:color w:val="000000" w:themeColor="text1"/>
                          </w:rPr>
                          <m:t>2</m:t>
                        </m:r>
                      </m:sup>
                    </m:sSup>
                    <m:r>
                      <w:rPr>
                        <w:rFonts w:ascii="Cambria Math" w:hAnsi="Cambria Math"/>
                        <w:color w:val="000000" w:themeColor="text1"/>
                      </w:rPr>
                      <m:t>+</m:t>
                    </m:r>
                    <m:sSup>
                      <m:sSupPr>
                        <m:ctrlPr>
                          <w:rPr>
                            <w:rFonts w:ascii="Cambria Math" w:hAnsi="Cambria Math"/>
                            <w:i/>
                            <w:color w:val="000000" w:themeColor="text1"/>
                          </w:rPr>
                        </m:ctrlPr>
                      </m:sSupPr>
                      <m:e>
                        <m:d>
                          <m:dPr>
                            <m:ctrlPr>
                              <w:rPr>
                                <w:rFonts w:ascii="Cambria Math" w:hAnsi="Cambria Math"/>
                                <w:i/>
                                <w:color w:val="000000" w:themeColor="text1"/>
                              </w:rPr>
                            </m:ctrlPr>
                          </m:dPr>
                          <m:e>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u</m:t>
                                    </m:r>
                                  </m:e>
                                  <m:sub>
                                    <m:r>
                                      <w:rPr>
                                        <w:rFonts w:ascii="Cambria Math" w:hAnsi="Cambria Math"/>
                                        <w:color w:val="000000" w:themeColor="text1"/>
                                      </w:rPr>
                                      <m:t>∆T</m:t>
                                    </m:r>
                                  </m:sub>
                                </m:sSub>
                              </m:num>
                              <m:den>
                                <m:r>
                                  <w:rPr>
                                    <w:rFonts w:ascii="Cambria Math" w:hAnsi="Cambria Math"/>
                                    <w:color w:val="000000" w:themeColor="text1"/>
                                  </w:rPr>
                                  <m:t>∆T</m:t>
                                </m:r>
                              </m:den>
                            </m:f>
                          </m:e>
                        </m:d>
                      </m:e>
                      <m:sup>
                        <m:r>
                          <w:rPr>
                            <w:rFonts w:ascii="Cambria Math" w:hAnsi="Cambria Math"/>
                            <w:color w:val="000000" w:themeColor="text1"/>
                          </w:rPr>
                          <m:t>2</m:t>
                        </m:r>
                      </m:sup>
                    </m:sSup>
                  </m:e>
                </m:rad>
              </m:oMath>
            </m:oMathPara>
          </w:p>
        </w:tc>
        <w:tc>
          <w:tcPr>
            <w:tcW w:w="775" w:type="dxa"/>
            <w:vAlign w:val="center"/>
          </w:tcPr>
          <w:p w14:paraId="78016E5C" w14:textId="7B62A4FB" w:rsidR="00FD25F3" w:rsidRPr="00914426" w:rsidRDefault="00FD25F3" w:rsidP="00280ABF">
            <w:pPr>
              <w:ind w:firstLine="0"/>
              <w:jc w:val="right"/>
              <w:rPr>
                <w:color w:val="000000" w:themeColor="text1"/>
              </w:rPr>
            </w:pPr>
            <w:r w:rsidRPr="00914426">
              <w:rPr>
                <w:color w:val="000000" w:themeColor="text1"/>
              </w:rPr>
              <w:t>(8)</w:t>
            </w:r>
          </w:p>
        </w:tc>
      </w:tr>
    </w:tbl>
    <w:p w14:paraId="6AD63B5B" w14:textId="77777777" w:rsidR="00FD25F3" w:rsidRPr="00914426" w:rsidRDefault="00FD25F3" w:rsidP="00D97F96">
      <w:pPr>
        <w:rPr>
          <w:color w:val="000000" w:themeColor="text1"/>
        </w:rPr>
      </w:pPr>
    </w:p>
    <w:p w14:paraId="38C08865" w14:textId="1A49091B" w:rsidR="000A78AC" w:rsidRPr="00914426" w:rsidRDefault="000A78AC" w:rsidP="00D97F96">
      <w:pPr>
        <w:rPr>
          <w:color w:val="000000" w:themeColor="text1"/>
        </w:rPr>
      </w:pPr>
      <w:r w:rsidRPr="00914426">
        <w:rPr>
          <w:color w:val="000000" w:themeColor="text1"/>
        </w:rPr>
        <w:t xml:space="preserve">Where </w:t>
      </w:r>
      <m:oMath>
        <m:sSub>
          <m:sSubPr>
            <m:ctrlPr>
              <w:rPr>
                <w:rFonts w:ascii="Cambria Math" w:hAnsi="Cambria Math"/>
                <w:i/>
                <w:color w:val="000000" w:themeColor="text1"/>
              </w:rPr>
            </m:ctrlPr>
          </m:sSubPr>
          <m:e>
            <m:r>
              <w:rPr>
                <w:rFonts w:ascii="Cambria Math" w:hAnsi="Cambria Math"/>
                <w:color w:val="000000" w:themeColor="text1"/>
              </w:rPr>
              <m:t>u</m:t>
            </m:r>
          </m:e>
          <m:sub>
            <m:acc>
              <m:accPr>
                <m:chr m:val="̇"/>
                <m:ctrlPr>
                  <w:rPr>
                    <w:rFonts w:ascii="Cambria Math" w:hAnsi="Cambria Math"/>
                    <w:i/>
                    <w:color w:val="000000" w:themeColor="text1"/>
                  </w:rPr>
                </m:ctrlPr>
              </m:accPr>
              <m:e>
                <m:r>
                  <w:rPr>
                    <w:rFonts w:ascii="Cambria Math" w:hAnsi="Cambria Math"/>
                    <w:color w:val="000000" w:themeColor="text1"/>
                  </w:rPr>
                  <m:t>m</m:t>
                </m:r>
              </m:e>
            </m:acc>
          </m:sub>
        </m:sSub>
      </m:oMath>
      <w:r w:rsidRPr="00914426">
        <w:rPr>
          <w:color w:val="000000" w:themeColor="text1"/>
        </w:rPr>
        <w:t xml:space="preserve"> represents the uncertainty of </w:t>
      </w:r>
      <w:r w:rsidR="00071559" w:rsidRPr="00914426">
        <w:rPr>
          <w:color w:val="000000" w:themeColor="text1"/>
        </w:rPr>
        <w:t xml:space="preserve">the </w:t>
      </w:r>
      <w:r w:rsidRPr="00914426">
        <w:rPr>
          <w:color w:val="000000" w:themeColor="text1"/>
        </w:rPr>
        <w:t xml:space="preserve">hot-water flow rate and </w:t>
      </w:r>
      <m:oMath>
        <m:r>
          <w:rPr>
            <w:rFonts w:ascii="Cambria Math" w:hAnsi="Cambria Math"/>
            <w:color w:val="000000" w:themeColor="text1"/>
          </w:rPr>
          <m:t>∆T</m:t>
        </m:r>
      </m:oMath>
      <w:r w:rsidR="00071559" w:rsidRPr="00914426">
        <w:rPr>
          <w:color w:val="000000" w:themeColor="text1"/>
        </w:rPr>
        <w:t xml:space="preserve"> is the temperature difference between the inlet and outlet</w:t>
      </w:r>
      <w:r w:rsidRPr="00914426">
        <w:rPr>
          <w:color w:val="000000" w:themeColor="text1"/>
        </w:rPr>
        <w:t>.</w:t>
      </w:r>
    </w:p>
    <w:p w14:paraId="68DD28C7" w14:textId="77777777" w:rsidR="00141042" w:rsidRPr="00914426" w:rsidRDefault="00141042" w:rsidP="00141042">
      <w:pPr>
        <w:pStyle w:val="heading1"/>
        <w:rPr>
          <w:color w:val="000000" w:themeColor="text1"/>
        </w:rPr>
      </w:pPr>
      <w:r w:rsidRPr="00914426">
        <w:rPr>
          <w:color w:val="000000" w:themeColor="text1"/>
        </w:rPr>
        <w:t>Results and Discussion</w:t>
      </w:r>
    </w:p>
    <w:p w14:paraId="07724512" w14:textId="77777777" w:rsidR="00141042" w:rsidRPr="00914426" w:rsidRDefault="00141042" w:rsidP="00141042">
      <w:pPr>
        <w:pStyle w:val="heading2"/>
        <w:spacing w:before="0"/>
        <w:rPr>
          <w:color w:val="000000" w:themeColor="text1"/>
        </w:rPr>
      </w:pPr>
      <w:r w:rsidRPr="00914426">
        <w:rPr>
          <w:color w:val="000000" w:themeColor="text1"/>
        </w:rPr>
        <w:t>Implementation and Performance of the IoT-Based Monitoring Framework</w:t>
      </w:r>
    </w:p>
    <w:p w14:paraId="0FC07C2D" w14:textId="77777777" w:rsidR="00C6668A" w:rsidRPr="00914426" w:rsidRDefault="00C6668A" w:rsidP="00425134">
      <w:pPr>
        <w:rPr>
          <w:color w:val="000000" w:themeColor="text1"/>
        </w:rPr>
      </w:pPr>
      <w:r w:rsidRPr="00914426">
        <w:rPr>
          <w:color w:val="000000" w:themeColor="text1"/>
        </w:rPr>
        <w:t>The Internet of Things (IoT) monitoring framework was successfully implemented on the industrial drying system to continuously acquire thermal parameter data, which can subsequently be used for process evaluation. Five parameters were monitored: air temperature and relative humidity inside the oven, as well as the inlet hot water temperature, outlet hot water temperature, and water flow rate. The two parameters measured inside the oven represent the drying environmental conditions, while the other three parameters are used to characterize the thermal energy supplied through the hot water circulation. Sensors to measure these five parameters were installed directly on the drying oven and the hot water distribution lines to acquire data under actual industrial operating conditions.</w:t>
      </w:r>
    </w:p>
    <w:p w14:paraId="5395A378" w14:textId="21E36E92" w:rsidR="00C6668A" w:rsidRPr="00914426" w:rsidRDefault="00C6668A" w:rsidP="00425134">
      <w:pPr>
        <w:rPr>
          <w:color w:val="000000" w:themeColor="text1"/>
        </w:rPr>
      </w:pPr>
      <w:r w:rsidRPr="00914426">
        <w:rPr>
          <w:color w:val="000000" w:themeColor="text1"/>
        </w:rPr>
        <w:t>Fig</w:t>
      </w:r>
      <w:r w:rsidR="00F60DDF" w:rsidRPr="00914426">
        <w:rPr>
          <w:color w:val="000000" w:themeColor="text1"/>
        </w:rPr>
        <w:t>.</w:t>
      </w:r>
      <w:r w:rsidRPr="00914426">
        <w:rPr>
          <w:color w:val="000000" w:themeColor="text1"/>
        </w:rPr>
        <w:t xml:space="preserve"> 2</w:t>
      </w:r>
      <w:r w:rsidR="00F60DDF" w:rsidRPr="00914426">
        <w:rPr>
          <w:color w:val="000000" w:themeColor="text1"/>
        </w:rPr>
        <w:t>.</w:t>
      </w:r>
      <w:r w:rsidRPr="00914426">
        <w:rPr>
          <w:color w:val="000000" w:themeColor="text1"/>
        </w:rPr>
        <w:t xml:space="preserve"> illustrates the architecture and data flow of the developed monitoring framework. The sensor measurement data recorded by the ESP32 is transmitted to the acquisition system via wireless communication between the ESP32 units. The data received by the ESP32 at the data acquisition unit is then forwarded to a computer to be recorded by Microsoft Excel Data Streamer. Microsoft Power Automate is utilized to automate the data transfer process from Microsoft Excel Data Streamer, which executes every time a new data row is detected. The transferred data is then displayed in real-time by the PowerBI Streaming API in the form of graphical visualizations. This integrated architecture connects the process parameter measurements on the dryer to a centralized digital monitoring platform, allowing the thermal conditions during the drying process to be observed continuously without manual data logging.</w:t>
      </w:r>
      <w:r w:rsidR="00345FAD" w:rsidRPr="00914426">
        <w:rPr>
          <w:color w:val="000000" w:themeColor="text1"/>
        </w:rPr>
        <w:t xml:space="preserve"> </w:t>
      </w:r>
      <w:r w:rsidR="00867C02" w:rsidRPr="00867C02">
        <w:rPr>
          <w:color w:val="548DD4" w:themeColor="text2" w:themeTint="99"/>
        </w:rPr>
        <w:t>Comparable IoT-based architectures have been documented for continuous industrial energy monitoring. In these systems, field measurements are integrated with digital data acquisition and visualization platforms to facilitate operational energy assessment.</w:t>
      </w:r>
      <w:r w:rsidR="00345FAD" w:rsidRPr="00867C02">
        <w:rPr>
          <w:color w:val="548DD4" w:themeColor="text2" w:themeTint="99"/>
        </w:rPr>
        <w:t xml:space="preserve"> </w:t>
      </w:r>
      <w:r w:rsidR="00345FAD" w:rsidRPr="00914426">
        <w:rPr>
          <w:color w:val="000000" w:themeColor="text1"/>
        </w:rPr>
        <w:fldChar w:fldCharType="begin" w:fldLock="1"/>
      </w:r>
      <w:r w:rsidR="00345FAD" w:rsidRPr="00914426">
        <w:rPr>
          <w:color w:val="000000" w:themeColor="text1"/>
        </w:rPr>
        <w:instrText>ADDIN CSL_CITATION {"citationItems":[{"id":"ITEM-1","itemData":{"DOI":"10.1007/s43926-025-00110-y","ISSN":"2730-7239","author":[{"dropping-particle":"","family":"Khasawneh","given":"Hussam J.","non-dropping-particle":"","parse-names":false,"suffix":""},{"dropping-particle":"","family":"Asbahi","given":"Raghad","non-dropping-particle":"Al","parse-names":false,"suffix":""},{"dropping-particle":"","family":"Alzariqi","given":"Abdelrahman W.","non-dropping-particle":"","parse-names":false,"suffix":""},{"dropping-particle":"","family":"Qada","given":"Danah R.","non-dropping-particle":"Al","parse-names":false,"suffix":""},{"dropping-particle":"","family":"Bujuk","given":"Ayman","non-dropping-particle":"","parse-names":false,"suffix":""},{"dropping-particle":"","family":"Nawfal","given":"Muhammad A.","non-dropping-particle":"","parse-names":false,"suffix":""},{"dropping-particle":"","family":"Tareen","given":"Maria","non-dropping-particle":"","parse-names":false,"suffix":""}],"container-title":"Discover Internet of Things","id":"ITEM-1","issue":"1","issued":{"date-parts":[["2025","2","22"]]},"page":"15","title":"Industrial IoT-based submetering solution for real-time energy monitoring","type":"article-journal","volume":"5"},"uris":["http://www.mendeley.com/documents/?uuid=3bac228e-adcc-436e-8ea1-3038756b8b8b"]},{"id":"ITEM-2","itemData":{"DOI":"10.1016/j.iot.2020.100292","ISSN":"25426605","author":[{"dropping-particle":"","family":"Mudaliar","given":"Mani Dheeraj","non-dropping-particle":"","parse-names":false,"suffix":""},{"dropping-particle":"","family":"Sivakumar","given":"N.","non-dropping-particle":"","parse-names":false,"suffix":""}],"container-title":"Internet of Things","id":"ITEM-2","issued":{"date-parts":[["2020","12"]]},"page":"100292","title":"IoT based real time energy monitoring system using Raspberry Pi","type":"article-journal","volume":"12"},"uris":["http://www.mendeley.com/documents/?uuid=fb82a8ad-13ac-480c-ba4f-3758eb2aff5f"]},{"id":"ITEM-3","itemData":{"DOI":"10.3390/app15063222","ISSN":"2076-3417","abstract":"The rising cost of energy and the urgent need for sustainability have driven industries to adopt smarter solutions for monitoring and optimizing resource consumption. In this study, we present an Industrial Internet of Things (IIoT)-based approach for real-time energy and air consumption monitoring in manufacturing, focusing on a legacy Turret Punch Press (TPP) at Mitsubishi Electric Air Conditioning Systems Europe Ltd. (M-ACE). Due to its age and lack of modern monitoring capabilities, the machine was suspected to be inefficient, requiring a retrofitting strategy for improved transparency and optimization. To address these challenges, a structured IIoT-enabled monitoring system was deployed, integrating KEYENCE MP-F series sensors, an energy monitoring module, and Ethernet communication via Modbus TCP/IP. A comprehensive dashboarding system was developed for real-time visualization and analysis of energy consumption trends, identifying inefficiencies and optimizing machine usage. The data-driven approach revealed significant energy savings of up to 56% and uncovered hidden inefficiencies, including a persistent air leak. By implementing a smart shut-off valve triggered by real-time power consumption data, unnecessary air leakage was eliminated, reducing compressed air waste and overall energy costs. The results demonstrate the effectiveness of IIoT-based retrofitting for industrial energy efficiency, showcasing a scalable framework that can be applied across various machines and production environments. This study highlights the importance of data-driven decision-making in smart manufacturing, contributing to both cost reduction and sustainability goals in industrial settings.","author":[{"dropping-particle":"","family":"Hanifi","given":"Shahram","non-dropping-particle":"","parse-names":false,"suffix":""},{"dropping-particle":"","family":"Alkali","given":"Babakalli","non-dropping-particle":"","parse-names":false,"suffix":""},{"dropping-particle":"","family":"Lindsay","given":"Gordon","non-dropping-particle":"","parse-names":false,"suffix":""},{"dropping-particle":"","family":"McGlinchey","given":"Don","non-dropping-particle":"","parse-names":false,"suffix":""}],"container-title":"Applied Sciences","id":"ITEM-3","issue":"6","issued":{"date-parts":[["2025","3","15"]]},"page":"3222","title":"Optimizing Energy and Air Consumption in Smart Manufacturing: An Industrial Internet of Things-Based Monitoring and Efficiency Enhancement Solution","type":"article-journal","volume":"15"},"uris":["http://www.mendeley.com/documents/?uuid=6116cbb4-16f3-49d9-933b-a22a729d0815"]}],"mendeley":{"formattedCitation":"[3]–[5]","plainTextFormattedCitation":"[3]–[5]","previouslyFormattedCitation":"[3]–[5]"},"properties":{"noteIndex":0},"schema":"https://github.com/citation-style-language/schema/raw/master/csl-citation.json"}</w:instrText>
      </w:r>
      <w:r w:rsidR="00345FAD" w:rsidRPr="00914426">
        <w:rPr>
          <w:color w:val="000000" w:themeColor="text1"/>
        </w:rPr>
        <w:fldChar w:fldCharType="separate"/>
      </w:r>
      <w:r w:rsidR="00345FAD" w:rsidRPr="00914426">
        <w:rPr>
          <w:noProof/>
          <w:color w:val="000000" w:themeColor="text1"/>
        </w:rPr>
        <w:t>[3]–[5]</w:t>
      </w:r>
      <w:r w:rsidR="00345FAD" w:rsidRPr="00914426">
        <w:rPr>
          <w:color w:val="000000" w:themeColor="text1"/>
        </w:rPr>
        <w:fldChar w:fldCharType="end"/>
      </w:r>
      <w:r w:rsidR="00345FAD" w:rsidRPr="00914426">
        <w:rPr>
          <w:color w:val="000000" w:themeColor="text1"/>
        </w:rPr>
        <w:t>.</w:t>
      </w:r>
    </w:p>
    <w:p w14:paraId="60541911" w14:textId="6B293C24" w:rsidR="0015640F" w:rsidRPr="00914426" w:rsidRDefault="008C0F2A" w:rsidP="00AA2D8D">
      <w:pPr>
        <w:ind w:firstLine="0"/>
        <w:jc w:val="center"/>
        <w:rPr>
          <w:color w:val="000000" w:themeColor="text1"/>
        </w:rPr>
      </w:pPr>
      <w:r w:rsidRPr="00914426">
        <w:rPr>
          <w:noProof/>
          <w:color w:val="000000" w:themeColor="text1"/>
        </w:rPr>
        <w:drawing>
          <wp:inline distT="0" distB="0" distL="0" distR="0" wp14:anchorId="27F52DC3" wp14:editId="396C960A">
            <wp:extent cx="4329244" cy="3089366"/>
            <wp:effectExtent l="0" t="0" r="1905" b="0"/>
            <wp:docPr id="5988814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881436" name="Picture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4362206" cy="3112888"/>
                    </a:xfrm>
                    <a:prstGeom prst="rect">
                      <a:avLst/>
                    </a:prstGeom>
                  </pic:spPr>
                </pic:pic>
              </a:graphicData>
            </a:graphic>
          </wp:inline>
        </w:drawing>
      </w:r>
    </w:p>
    <w:p w14:paraId="0BA3D3B1" w14:textId="4667974A" w:rsidR="008C0F2A" w:rsidRPr="00914426" w:rsidRDefault="008C0F2A" w:rsidP="008C0F2A">
      <w:pPr>
        <w:rPr>
          <w:color w:val="000000" w:themeColor="text1"/>
        </w:rPr>
      </w:pPr>
    </w:p>
    <w:p w14:paraId="6C0BE136" w14:textId="2ADCA2A5" w:rsidR="008C0F2A" w:rsidRPr="00914426" w:rsidRDefault="008C0F2A" w:rsidP="00F60DDF">
      <w:pPr>
        <w:ind w:firstLine="0"/>
        <w:rPr>
          <w:color w:val="000000" w:themeColor="text1"/>
        </w:rPr>
      </w:pPr>
      <w:r w:rsidRPr="00914426">
        <w:rPr>
          <w:b/>
          <w:bCs/>
          <w:color w:val="000000" w:themeColor="text1"/>
        </w:rPr>
        <w:t>Fig</w:t>
      </w:r>
      <w:r w:rsidR="00F60DDF" w:rsidRPr="00914426">
        <w:rPr>
          <w:b/>
          <w:bCs/>
          <w:color w:val="000000" w:themeColor="text1"/>
        </w:rPr>
        <w:t>.</w:t>
      </w:r>
      <w:r w:rsidRPr="00914426">
        <w:rPr>
          <w:b/>
          <w:bCs/>
          <w:color w:val="000000" w:themeColor="text1"/>
        </w:rPr>
        <w:t xml:space="preserve"> 2.</w:t>
      </w:r>
      <w:r w:rsidRPr="00914426">
        <w:rPr>
          <w:color w:val="000000" w:themeColor="text1"/>
        </w:rPr>
        <w:t xml:space="preserve"> Implementation of the IoT-based monitoring framework: (a) system architecture and data flow; (b) real-time Power BI dashboard.</w:t>
      </w:r>
    </w:p>
    <w:p w14:paraId="4B38FD37" w14:textId="77777777" w:rsidR="0015640F" w:rsidRPr="00914426" w:rsidRDefault="0015640F" w:rsidP="006F76A3">
      <w:pPr>
        <w:ind w:left="227"/>
        <w:rPr>
          <w:color w:val="000000" w:themeColor="text1"/>
        </w:rPr>
      </w:pPr>
    </w:p>
    <w:p w14:paraId="11E2F8CC" w14:textId="2B77E44D" w:rsidR="00141042" w:rsidRPr="00914426" w:rsidRDefault="00867C02" w:rsidP="00425134">
      <w:pPr>
        <w:rPr>
          <w:color w:val="000000" w:themeColor="text1"/>
        </w:rPr>
      </w:pPr>
      <w:r w:rsidRPr="00867C02">
        <w:rPr>
          <w:color w:val="548DD4" w:themeColor="text2" w:themeTint="99"/>
        </w:rPr>
        <w:t>Throughout the monitoring period, the data acquisition and transmission system functioned continuously, and no data loss was observed</w:t>
      </w:r>
      <w:r w:rsidR="00C6668A" w:rsidRPr="00867C02">
        <w:rPr>
          <w:color w:val="548DD4" w:themeColor="text2" w:themeTint="99"/>
        </w:rPr>
        <w:t xml:space="preserve">. </w:t>
      </w:r>
      <w:r w:rsidR="00C6668A" w:rsidRPr="00914426">
        <w:rPr>
          <w:color w:val="000000" w:themeColor="text1"/>
        </w:rPr>
        <w:t xml:space="preserve">The oven environmental conditions and hot water circulation data were recorded and displayed simultaneously in real-time. These results demonstrate that this IoT monitoring framework is reliable for continuous monitoring at a field scale. The acquisition of flow rate and inlet/outlet water temperature data can be utilized to evaluate the thermal energy supplied to the drying oven. The results of this implementation show that the developed system is capable not only of real-time visualization of drying process parameters but also of evaluating the thermal energy consumed based on the flow rate and water temperature data. </w:t>
      </w:r>
      <w:r w:rsidR="007B3EDF" w:rsidRPr="00914426">
        <w:rPr>
          <w:color w:val="000000" w:themeColor="text1"/>
        </w:rPr>
        <w:t>Thermal performance evaluation can now be carried out directly thanks to the monitoring system's support.</w:t>
      </w:r>
    </w:p>
    <w:p w14:paraId="4B6F5F29" w14:textId="77777777" w:rsidR="00141042" w:rsidRPr="00914426" w:rsidRDefault="00141042" w:rsidP="00141042">
      <w:pPr>
        <w:rPr>
          <w:color w:val="000000" w:themeColor="text1"/>
        </w:rPr>
      </w:pPr>
    </w:p>
    <w:p w14:paraId="0AA27274" w14:textId="77777777" w:rsidR="00141042" w:rsidRPr="00914426" w:rsidRDefault="00141042" w:rsidP="00141042">
      <w:pPr>
        <w:pStyle w:val="heading2"/>
        <w:spacing w:before="0"/>
        <w:rPr>
          <w:color w:val="000000" w:themeColor="text1"/>
        </w:rPr>
      </w:pPr>
      <w:r w:rsidRPr="00914426">
        <w:rPr>
          <w:color w:val="000000" w:themeColor="text1"/>
        </w:rPr>
        <w:t>Thermal Characteristics of the Industrial Drying Process</w:t>
      </w:r>
    </w:p>
    <w:p w14:paraId="0A1C1BF3" w14:textId="77777777" w:rsidR="00B42A88" w:rsidRPr="00914426" w:rsidRDefault="00B42A88" w:rsidP="00C6668A">
      <w:pPr>
        <w:overflowPunct/>
        <w:spacing w:after="240" w:line="240" w:lineRule="auto"/>
        <w:textAlignment w:val="auto"/>
        <w:rPr>
          <w:color w:val="000000" w:themeColor="text1"/>
        </w:rPr>
      </w:pPr>
      <w:r w:rsidRPr="00914426">
        <w:rPr>
          <w:color w:val="000000" w:themeColor="text1"/>
        </w:rPr>
        <w:t>Temperature and humidity monitoring was conducted at three locations (drying ovens) along the industrial drying line: Oven 1, Oven 9, and Oven 18. These three locations represent the beginning, middle, and end sections of the boiler-supplied hot water distribution line. Oven 1 receives the hot water flow at the start of the distribution line, Oven 9 represents the middle section, and Oven 18 is located at the end of the line, prior to the water returning to the boiler. This sensor placement configuration represents the temperature and humidity conditions at various points along the drying line.</w:t>
      </w:r>
    </w:p>
    <w:p w14:paraId="5FFF2E2F" w14:textId="0ADD372A" w:rsidR="00C6668A" w:rsidRPr="00914426" w:rsidRDefault="00867C02" w:rsidP="00C6668A">
      <w:pPr>
        <w:overflowPunct/>
        <w:spacing w:after="240" w:line="240" w:lineRule="auto"/>
        <w:textAlignment w:val="auto"/>
        <w:rPr>
          <w:color w:val="000000" w:themeColor="text1"/>
        </w:rPr>
      </w:pPr>
      <w:r w:rsidRPr="00867C02">
        <w:rPr>
          <w:color w:val="548DD4" w:themeColor="text2" w:themeTint="99"/>
        </w:rPr>
        <w:t>Temperature measurement at the three points of interest confirmed that the ovens were within the required range of 75–80°C (Fig. 3a). Monitoring was done during 27 days of operation and several drying cycles as one product batch requires a drying time of around 2 hours. During this period, temperature variations at each location were relatively small, about ±1 °C. The small temperature variations in Oven 1, Oven 9 and Oven 18 indicate the thermal distribution system can maintain the drying conditions from upstream to down-stream sections along the monitored oven line. No significant temperature drop was seen from first oven to last oven. This condition implies that the heat distribution is capable of maintaining relatively uniform thermal conditions at the three representative locations over several production cycles, thus ensuring consistent drying conditions throughout the process line</w:t>
      </w:r>
      <w:r w:rsidR="00C6668A" w:rsidRPr="00914426">
        <w:rPr>
          <w:color w:val="000000" w:themeColor="text1"/>
        </w:rPr>
        <w:t xml:space="preserve">. </w:t>
      </w:r>
    </w:p>
    <w:p w14:paraId="65F3C0D0" w14:textId="7456E5DE" w:rsidR="00C6668A" w:rsidRPr="00914426" w:rsidRDefault="00867C02" w:rsidP="00C6668A">
      <w:pPr>
        <w:overflowPunct/>
        <w:spacing w:after="240" w:line="240" w:lineRule="auto"/>
        <w:textAlignment w:val="auto"/>
        <w:rPr>
          <w:color w:val="000000" w:themeColor="text1"/>
        </w:rPr>
      </w:pPr>
      <w:r w:rsidRPr="00867C02">
        <w:rPr>
          <w:color w:val="548DD4" w:themeColor="text2" w:themeTint="99"/>
        </w:rPr>
        <w:t>The relative humidity also displayed relatively small temporal variations during the 27-day monitoring period, varying by ~±1% over a humidity range of ~27% (Fig. 3b.). This low and stable level of humidity indicates that the humidity conditions of the drying air were relatively well maintained over several drying cycles regardless of the fact that moisture was constantly released from the products during the process</w:t>
      </w:r>
      <w:r w:rsidR="00C6668A" w:rsidRPr="00914426">
        <w:rPr>
          <w:color w:val="000000" w:themeColor="text1"/>
        </w:rPr>
        <w:t xml:space="preserve">. Simultaneous humidity monitoring in the upstream, middle, and downstream ovens provides an overview showing no significant differences in the drying environmental conditions inside the ovens along the process line. </w:t>
      </w:r>
    </w:p>
    <w:p w14:paraId="43EF2C3B" w14:textId="537F51FD" w:rsidR="0020121D" w:rsidRPr="00914426" w:rsidRDefault="00C6668A" w:rsidP="00C6668A">
      <w:pPr>
        <w:overflowPunct/>
        <w:spacing w:after="240" w:line="240" w:lineRule="auto"/>
        <w:textAlignment w:val="auto"/>
        <w:rPr>
          <w:color w:val="000000" w:themeColor="text1"/>
        </w:rPr>
      </w:pPr>
      <w:r w:rsidRPr="00914426">
        <w:rPr>
          <w:color w:val="000000" w:themeColor="text1"/>
        </w:rPr>
        <w:t>The preservation of the drying space conditions inside the ovens within the optimal range set by the company is supported by the hot water circulation system that supplies heat to the ovens. The observed temperature difference between the inlet water flow at 98 °C and the outlet water flow at 90 °C during operations (</w:t>
      </w:r>
      <w:r w:rsidR="00F60DDF" w:rsidRPr="00914426">
        <w:rPr>
          <w:color w:val="000000" w:themeColor="text1"/>
        </w:rPr>
        <w:t xml:space="preserve">see </w:t>
      </w:r>
      <w:r w:rsidRPr="00914426">
        <w:rPr>
          <w:color w:val="000000" w:themeColor="text1"/>
        </w:rPr>
        <w:t>Fig</w:t>
      </w:r>
      <w:r w:rsidR="00F60DDF" w:rsidRPr="00914426">
        <w:rPr>
          <w:color w:val="000000" w:themeColor="text1"/>
        </w:rPr>
        <w:t>.</w:t>
      </w:r>
      <w:r w:rsidRPr="00914426">
        <w:rPr>
          <w:color w:val="000000" w:themeColor="text1"/>
        </w:rPr>
        <w:t xml:space="preserve"> 3c</w:t>
      </w:r>
      <w:r w:rsidR="00F60DDF" w:rsidRPr="00914426">
        <w:rPr>
          <w:color w:val="000000" w:themeColor="text1"/>
        </w:rPr>
        <w:t>.</w:t>
      </w:r>
      <w:r w:rsidRPr="00914426">
        <w:rPr>
          <w:color w:val="000000" w:themeColor="text1"/>
        </w:rPr>
        <w:t>) indicates the release of thermal energy from the circulating hot water as it passes through the heating system</w:t>
      </w:r>
      <w:r w:rsidR="00345FAD" w:rsidRPr="00914426">
        <w:rPr>
          <w:color w:val="000000" w:themeColor="text1"/>
        </w:rPr>
        <w:t xml:space="preserve"> </w:t>
      </w:r>
      <w:r w:rsidR="00345FAD" w:rsidRPr="00914426">
        <w:rPr>
          <w:color w:val="000000" w:themeColor="text1"/>
        </w:rPr>
        <w:fldChar w:fldCharType="begin" w:fldLock="1"/>
      </w:r>
      <w:r w:rsidR="00866BE4" w:rsidRPr="00914426">
        <w:rPr>
          <w:color w:val="000000" w:themeColor="text1"/>
        </w:rPr>
        <w:instrText>ADDIN CSL_CITATION {"citationItems":[{"id":"ITEM-1","itemData":{"DOI":"10.1016/j.rser.2024.114442","ISSN":"13640321","author":[{"dropping-particle":"","family":"Mondal","given":"Md. Hasan Tarek","non-dropping-particle":"","parse-names":false,"suffix":""},{"dropping-particle":"","family":"Sarker","given":"Md. Sazzat Hossain","non-dropping-particle":"","parse-names":false,"suffix":""}],"container-title":"Renewable and Sustainable Energy Reviews","id":"ITEM-1","issued":{"date-parts":[["2024","7"]]},"page":"114442","title":"Comprehensive energy analysis and environmental sustainability of industrial grain drying","type":"article-journal","volume":"199"},"uris":["http://www.mendeley.com/documents/?uuid=271f62f4-aaa0-4a29-940f-8a24e11aa8ea"]}],"mendeley":{"formattedCitation":"[2]","plainTextFormattedCitation":"[2]","previouslyFormattedCitation":"[2]"},"properties":{"noteIndex":0},"schema":"https://github.com/citation-style-language/schema/raw/master/csl-citation.json"}</w:instrText>
      </w:r>
      <w:r w:rsidR="00345FAD" w:rsidRPr="00914426">
        <w:rPr>
          <w:color w:val="000000" w:themeColor="text1"/>
        </w:rPr>
        <w:fldChar w:fldCharType="separate"/>
      </w:r>
      <w:r w:rsidR="00345FAD" w:rsidRPr="00914426">
        <w:rPr>
          <w:noProof/>
          <w:color w:val="000000" w:themeColor="text1"/>
        </w:rPr>
        <w:t>[2]</w:t>
      </w:r>
      <w:r w:rsidR="00345FAD" w:rsidRPr="00914426">
        <w:rPr>
          <w:color w:val="000000" w:themeColor="text1"/>
        </w:rPr>
        <w:fldChar w:fldCharType="end"/>
      </w:r>
      <w:r w:rsidRPr="00914426">
        <w:rPr>
          <w:color w:val="000000" w:themeColor="text1"/>
        </w:rPr>
        <w:t>. The monitored water flow rate (Fi</w:t>
      </w:r>
      <w:r w:rsidR="00F60DDF" w:rsidRPr="00914426">
        <w:rPr>
          <w:color w:val="000000" w:themeColor="text1"/>
        </w:rPr>
        <w:t>g.</w:t>
      </w:r>
      <w:r w:rsidRPr="00914426">
        <w:rPr>
          <w:color w:val="000000" w:themeColor="text1"/>
        </w:rPr>
        <w:t xml:space="preserve"> 3d</w:t>
      </w:r>
      <w:r w:rsidR="00F60DDF" w:rsidRPr="00914426">
        <w:rPr>
          <w:color w:val="000000" w:themeColor="text1"/>
        </w:rPr>
        <w:t>.</w:t>
      </w:r>
      <w:r w:rsidRPr="00914426">
        <w:rPr>
          <w:color w:val="000000" w:themeColor="text1"/>
        </w:rPr>
        <w:t xml:space="preserve">) and the inlet–outlet temperature difference can be utilized to calculate the thermal energy input based on the </w:t>
      </w:r>
      <w:r w:rsidR="0091552D" w:rsidRPr="00914426">
        <w:rPr>
          <w:color w:val="000000" w:themeColor="text1"/>
        </w:rPr>
        <w:t>E</w:t>
      </w:r>
      <w:r w:rsidRPr="00914426">
        <w:rPr>
          <w:color w:val="000000" w:themeColor="text1"/>
        </w:rPr>
        <w:t>q</w:t>
      </w:r>
      <w:r w:rsidR="00F60DDF" w:rsidRPr="00914426">
        <w:rPr>
          <w:color w:val="000000" w:themeColor="text1"/>
        </w:rPr>
        <w:t>.</w:t>
      </w:r>
      <w:r w:rsidR="0091552D" w:rsidRPr="00914426">
        <w:rPr>
          <w:color w:val="000000" w:themeColor="text1"/>
        </w:rPr>
        <w:t xml:space="preserve"> 4.</w:t>
      </w:r>
    </w:p>
    <w:p w14:paraId="671F9681" w14:textId="7F307914" w:rsidR="005166B5" w:rsidRPr="00914426" w:rsidRDefault="005166B5" w:rsidP="00306EFA">
      <w:pPr>
        <w:overflowPunct/>
        <w:spacing w:after="240" w:line="240" w:lineRule="auto"/>
        <w:ind w:firstLine="0"/>
        <w:jc w:val="center"/>
        <w:textAlignment w:val="auto"/>
        <w:rPr>
          <w:color w:val="000000" w:themeColor="text1"/>
        </w:rPr>
      </w:pPr>
      <w:r w:rsidRPr="00914426">
        <w:rPr>
          <w:noProof/>
          <w:color w:val="000000" w:themeColor="text1"/>
        </w:rPr>
        <w:drawing>
          <wp:inline distT="0" distB="0" distL="0" distR="0" wp14:anchorId="01A1EB8E" wp14:editId="1409075F">
            <wp:extent cx="4354478" cy="2882685"/>
            <wp:effectExtent l="0" t="0" r="1905" b="635"/>
            <wp:docPr id="49235064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350645" name="Picture 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371748" cy="2894118"/>
                    </a:xfrm>
                    <a:prstGeom prst="rect">
                      <a:avLst/>
                    </a:prstGeom>
                  </pic:spPr>
                </pic:pic>
              </a:graphicData>
            </a:graphic>
          </wp:inline>
        </w:drawing>
      </w:r>
    </w:p>
    <w:p w14:paraId="5DF95E50" w14:textId="420A620D" w:rsidR="0026524A" w:rsidRPr="00914426" w:rsidRDefault="0026524A" w:rsidP="00F60DDF">
      <w:pPr>
        <w:overflowPunct/>
        <w:spacing w:after="240" w:line="240" w:lineRule="auto"/>
        <w:ind w:firstLine="0"/>
        <w:textAlignment w:val="auto"/>
        <w:rPr>
          <w:color w:val="000000" w:themeColor="text1"/>
        </w:rPr>
      </w:pPr>
      <w:r w:rsidRPr="00914426">
        <w:rPr>
          <w:b/>
          <w:bCs/>
          <w:color w:val="000000" w:themeColor="text1"/>
        </w:rPr>
        <w:t>Fi</w:t>
      </w:r>
      <w:r w:rsidR="00F60DDF" w:rsidRPr="00914426">
        <w:rPr>
          <w:b/>
          <w:bCs/>
          <w:color w:val="000000" w:themeColor="text1"/>
        </w:rPr>
        <w:t xml:space="preserve">g. </w:t>
      </w:r>
      <w:r w:rsidRPr="00914426">
        <w:rPr>
          <w:b/>
          <w:bCs/>
          <w:color w:val="000000" w:themeColor="text1"/>
        </w:rPr>
        <w:t>3.</w:t>
      </w:r>
      <w:r w:rsidRPr="00914426">
        <w:rPr>
          <w:color w:val="000000" w:themeColor="text1"/>
        </w:rPr>
        <w:t xml:space="preserve"> Thermal characteristics of the industrial drying process during the monitoring period: (a) oven air temperature at three monitoring points; (b) oven relative humidity; (c) hot-water inlet and outlet temperatures; and (d) hot-water flow rate.</w:t>
      </w:r>
    </w:p>
    <w:p w14:paraId="405BD3CA" w14:textId="23FE40F9" w:rsidR="00141042" w:rsidRPr="00914426" w:rsidRDefault="00400831" w:rsidP="0091552D">
      <w:pPr>
        <w:overflowPunct/>
        <w:spacing w:after="240" w:line="240" w:lineRule="auto"/>
        <w:textAlignment w:val="auto"/>
        <w:rPr>
          <w:color w:val="000000" w:themeColor="text1"/>
        </w:rPr>
      </w:pPr>
      <w:r w:rsidRPr="00914426">
        <w:rPr>
          <w:color w:val="000000" w:themeColor="text1"/>
        </w:rPr>
        <w:t>Overall, the monitoring results demonstrate that the developed system can capture spatial thermal conditions along the industrial drying line as well as the operational characteristics of its thermal energy supply. The three representative oven locations provide information regarding the system's capability to maintain the required drying temperature from upstream to downstream. Meanwhile, the measurement of hot water parameters is used to calculate the thermal energy supplied to the process. These measurement results are subsequently used to compare the actual thermal energy supply with the theoretical energy requirement of the product</w:t>
      </w:r>
      <w:r w:rsidR="0020121D" w:rsidRPr="00914426">
        <w:rPr>
          <w:color w:val="000000" w:themeColor="text1"/>
        </w:rPr>
        <w:t>.</w:t>
      </w:r>
    </w:p>
    <w:p w14:paraId="1DD8BAE9" w14:textId="77777777" w:rsidR="00141042" w:rsidRPr="00914426" w:rsidRDefault="00141042" w:rsidP="00141042">
      <w:pPr>
        <w:pStyle w:val="heading2"/>
        <w:spacing w:before="0"/>
        <w:rPr>
          <w:color w:val="000000" w:themeColor="text1"/>
        </w:rPr>
      </w:pPr>
      <w:r w:rsidRPr="00914426">
        <w:rPr>
          <w:color w:val="000000" w:themeColor="text1"/>
        </w:rPr>
        <w:t>Theoretical and Actual Thermal Energy Assessment</w:t>
      </w:r>
    </w:p>
    <w:p w14:paraId="3AF3F8AA" w14:textId="071778D1" w:rsidR="00400831" w:rsidRPr="00914426" w:rsidRDefault="00400831" w:rsidP="006101C8">
      <w:pPr>
        <w:rPr>
          <w:color w:val="000000" w:themeColor="text1"/>
        </w:rPr>
      </w:pPr>
      <w:r w:rsidRPr="00914426">
        <w:rPr>
          <w:color w:val="000000" w:themeColor="text1"/>
        </w:rPr>
        <w:t xml:space="preserve">The theoretical thermal energy requirement used to evaluate the actual energy supplied during operation was determined based on the laboratory-scale product drying evaluation. The energy required by the product to reduce its moisture content consists of the sensible heat to raise the product temperature to the drying condition and the latent heat for water evaporation. The energy requirement calculated for a single product was subsequently converted according to the capacity of the entire industrial oven system, which is approximately 24,000 products. Based on this approach, a theoretical thermal energy requirement of 115,920 kcal h⁻¹ was obtained. </w:t>
      </w:r>
      <w:r w:rsidR="00867C02" w:rsidRPr="00867C02">
        <w:rPr>
          <w:color w:val="548DD4" w:themeColor="text2" w:themeTint="99"/>
        </w:rPr>
        <w:t>This thermal energy value is used as a reference baseline to assess the thermal energy provided during real operation.</w:t>
      </w:r>
      <w:r w:rsidRPr="00867C02">
        <w:rPr>
          <w:color w:val="548DD4" w:themeColor="text2" w:themeTint="99"/>
        </w:rPr>
        <w:t xml:space="preserve"> </w:t>
      </w:r>
      <w:r w:rsidR="00FF647D" w:rsidRPr="00914426">
        <w:rPr>
          <w:color w:val="000000" w:themeColor="text1"/>
        </w:rPr>
        <w:t>We derived the theoretical value by linearly scaling the energy requirement of a single product (measured at the laboratory scale) to the industrial batch capacity</w:t>
      </w:r>
      <w:r w:rsidR="00867C02">
        <w:rPr>
          <w:color w:val="000000" w:themeColor="text1"/>
        </w:rPr>
        <w:t>. I</w:t>
      </w:r>
      <w:r w:rsidR="00FF647D" w:rsidRPr="00914426">
        <w:rPr>
          <w:color w:val="000000" w:themeColor="text1"/>
        </w:rPr>
        <w:t>t represents an ideal benchmark rather than the absolute minimum energy required for an industrial batch. In practice, energy requirements depend on operational factors in the field, such as product loading methods, airflow resistance, accumulated humidity, and heat and mass transfer that may not be uniform throughout the chamber.</w:t>
      </w:r>
    </w:p>
    <w:p w14:paraId="1FA0A62B" w14:textId="77777777" w:rsidR="00071559" w:rsidRPr="00914426" w:rsidRDefault="00071559" w:rsidP="006101C8">
      <w:pPr>
        <w:rPr>
          <w:color w:val="000000" w:themeColor="text1"/>
        </w:rPr>
      </w:pPr>
    </w:p>
    <w:p w14:paraId="580EFE7D" w14:textId="46E0DDA6" w:rsidR="004051E7" w:rsidRPr="00914426" w:rsidRDefault="00CA29B7" w:rsidP="006101C8">
      <w:pPr>
        <w:rPr>
          <w:color w:val="000000" w:themeColor="text1"/>
        </w:rPr>
      </w:pPr>
      <w:r w:rsidRPr="00914426">
        <w:rPr>
          <w:color w:val="000000" w:themeColor="text1"/>
        </w:rPr>
        <w:t>The actual thermal energy delivered to the oven depends on the air mass flow rate, average temperature, and the inlet-to-outlet temperature difference</w:t>
      </w:r>
      <w:r w:rsidR="00871637" w:rsidRPr="00914426">
        <w:rPr>
          <w:color w:val="000000" w:themeColor="text1"/>
        </w:rPr>
        <w:t xml:space="preserve">, </w:t>
      </w:r>
      <w:r w:rsidRPr="00914426">
        <w:rPr>
          <w:color w:val="000000" w:themeColor="text1"/>
        </w:rPr>
        <w:t xml:space="preserve">which are continuously monitored. </w:t>
      </w:r>
      <w:r w:rsidR="00867C02" w:rsidRPr="00867C02">
        <w:rPr>
          <w:color w:val="548DD4" w:themeColor="text2" w:themeTint="99"/>
        </w:rPr>
        <w:t xml:space="preserve">The calculation of thermal energy depends on the temperature difference between the inlet and outlet, and the relatively small </w:t>
      </w:r>
      <w:r w:rsidR="00867C02" w:rsidRPr="00867C02">
        <w:rPr>
          <w:i/>
          <w:iCs/>
          <w:color w:val="548DD4" w:themeColor="text2" w:themeTint="99"/>
        </w:rPr>
        <w:t>ΔT</w:t>
      </w:r>
      <w:r w:rsidR="00867C02" w:rsidRPr="00867C02">
        <w:rPr>
          <w:color w:val="548DD4" w:themeColor="text2" w:themeTint="99"/>
        </w:rPr>
        <w:t xml:space="preserve"> values during the drying process</w:t>
      </w:r>
      <w:r w:rsidR="00867C02">
        <w:rPr>
          <w:color w:val="548DD4" w:themeColor="text2" w:themeTint="99"/>
        </w:rPr>
        <w:t xml:space="preserve"> </w:t>
      </w:r>
      <w:proofErr w:type="gramStart"/>
      <w:r w:rsidR="00867C02" w:rsidRPr="00867C02">
        <w:rPr>
          <w:color w:val="548DD4" w:themeColor="text2" w:themeTint="99"/>
        </w:rPr>
        <w:t>lead</w:t>
      </w:r>
      <w:proofErr w:type="gramEnd"/>
      <w:r w:rsidR="00867C02">
        <w:rPr>
          <w:color w:val="548DD4" w:themeColor="text2" w:themeTint="99"/>
        </w:rPr>
        <w:t xml:space="preserve"> </w:t>
      </w:r>
      <w:r w:rsidR="00867C02" w:rsidRPr="00867C02">
        <w:rPr>
          <w:color w:val="548DD4" w:themeColor="text2" w:themeTint="99"/>
        </w:rPr>
        <w:t>to a higher impact of temperature measurement errors on the calculated thermal energy supply. This real thermal energy corresponds to the heat released by hot-water distribution pipes and transported by air circulating inside the drying oven. The average thermal energy supply during the monitoring period was 151,291 kcal</w:t>
      </w:r>
      <w:r w:rsidR="00867C02">
        <w:rPr>
          <w:color w:val="548DD4" w:themeColor="text2" w:themeTint="99"/>
        </w:rPr>
        <w:t xml:space="preserve"> </w:t>
      </w:r>
      <w:r w:rsidR="00867C02" w:rsidRPr="00867C02">
        <w:rPr>
          <w:color w:val="548DD4" w:themeColor="text2" w:themeTint="99"/>
        </w:rPr>
        <w:t>h</w:t>
      </w:r>
      <w:r w:rsidR="00867C02" w:rsidRPr="00867C02">
        <w:rPr>
          <w:color w:val="548DD4" w:themeColor="text2" w:themeTint="99"/>
          <w:vertAlign w:val="superscript"/>
        </w:rPr>
        <w:t>-1</w:t>
      </w:r>
      <w:r w:rsidR="00867C02" w:rsidRPr="00867C02">
        <w:rPr>
          <w:color w:val="548DD4" w:themeColor="text2" w:themeTint="99"/>
        </w:rPr>
        <w:t>.</w:t>
      </w:r>
    </w:p>
    <w:p w14:paraId="528C0790" w14:textId="42233D7D" w:rsidR="00400831" w:rsidRPr="00914426" w:rsidRDefault="00400831" w:rsidP="004051E7">
      <w:pPr>
        <w:ind w:firstLine="0"/>
        <w:rPr>
          <w:color w:val="000000" w:themeColor="text1"/>
        </w:rPr>
      </w:pPr>
    </w:p>
    <w:p w14:paraId="1B6839DA" w14:textId="6F38A482" w:rsidR="00400831" w:rsidRPr="00914426" w:rsidRDefault="00867C02" w:rsidP="006101C8">
      <w:pPr>
        <w:rPr>
          <w:color w:val="000000" w:themeColor="text1"/>
        </w:rPr>
      </w:pPr>
      <w:r w:rsidRPr="00867C02">
        <w:rPr>
          <w:color w:val="548DD4" w:themeColor="text2" w:themeTint="99"/>
        </w:rPr>
        <w:t>Fig. 4 shows the actual thermal energy supplied to the oven as a function of time. This is seen to be greater than the theoretical energy requirement of 115,920 kcal h</w:t>
      </w:r>
      <w:r w:rsidRPr="00867C02">
        <w:rPr>
          <w:color w:val="548DD4" w:themeColor="text2" w:themeTint="99"/>
          <w:vertAlign w:val="superscript"/>
        </w:rPr>
        <w:t>-1</w:t>
      </w:r>
      <w:r w:rsidRPr="00867C02">
        <w:rPr>
          <w:color w:val="548DD4" w:themeColor="text2" w:themeTint="99"/>
        </w:rPr>
        <w:t xml:space="preserve"> and also to vary with time. This surplus means that the heating system gives more thermal energy than the estimated thermal need of the product. The extent of difference varied from day to day during the period of observation. For example, on 15 May the thermal energy supply was reduced to about 105 542 kcal h</w:t>
      </w:r>
      <w:r w:rsidRPr="00867C02">
        <w:rPr>
          <w:color w:val="548DD4" w:themeColor="text2" w:themeTint="99"/>
          <w:vertAlign w:val="superscript"/>
        </w:rPr>
        <w:t>-1</w:t>
      </w:r>
      <w:r w:rsidRPr="00867C02">
        <w:rPr>
          <w:color w:val="548DD4" w:themeColor="text2" w:themeTint="99"/>
        </w:rPr>
        <w:t>, below the theoretical energy value. This pattern underlines the importance of real-time monitoring during drying processes.</w:t>
      </w:r>
      <w:r w:rsidRPr="00867C02">
        <w:rPr>
          <w:color w:val="548DD4" w:themeColor="text2" w:themeTint="99"/>
        </w:rPr>
        <w:t xml:space="preserve"> </w:t>
      </w:r>
      <w:r w:rsidR="00B6709D" w:rsidRPr="00914426">
        <w:rPr>
          <w:color w:val="000000" w:themeColor="text1"/>
        </w:rPr>
        <w:t>Relying solely on average energy values ​​over the course of operations would fail to detect short-term operational anomalies—such as instances where the thermal energy supply dips or falls below estimated requirements—underscoring the value of real-time thermal assessment.</w:t>
      </w:r>
      <w:r w:rsidR="00866BE4" w:rsidRPr="00914426">
        <w:rPr>
          <w:color w:val="000000" w:themeColor="text1"/>
        </w:rPr>
        <w:t xml:space="preserve"> </w:t>
      </w:r>
      <w:r w:rsidR="00866BE4" w:rsidRPr="00914426">
        <w:rPr>
          <w:color w:val="000000" w:themeColor="text1"/>
        </w:rPr>
        <w:fldChar w:fldCharType="begin" w:fldLock="1"/>
      </w:r>
      <w:r w:rsidR="00771A31" w:rsidRPr="00914426">
        <w:rPr>
          <w:color w:val="000000" w:themeColor="text1"/>
        </w:rPr>
        <w:instrText>ADDIN CSL_CITATION {"citationItems":[{"id":"ITEM-1","itemData":{"DOI":"10.1016/j.jclepro.2020.120394","ISSN":"09596526","author":[{"dropping-particle":"","family":"Zohrabi","given":"Saman","non-dropping-particle":"","parse-names":false,"suffix":""},{"dropping-particle":"","family":"Aghbashlo","given":"Mortaza","non-dropping-particle":"","parse-names":false,"suffix":""},{"dropping-particle":"","family":"Seiiedlou","given":"Seyed Sadegh","non-dropping-particle":"","parse-names":false,"suffix":""},{"dropping-particle":"","family":"Scaar","given":"Holger","non-dropping-particle":"","parse-names":false,"suffix":""},{"dropping-particle":"","family":"Mellmann","given":"Jochen","non-dropping-particle":"","parse-names":false,"suffix":""}],"container-title":"Journal of Cleaner Production","id":"ITEM-1","issued":{"date-parts":[["2020","6"]]},"page":"120394","title":"Energy saving in a convective dryer by using novel real-time exergy-based control schemes adjusting exhaust air recirculation","type":"article-journal","volume":"257"},"uris":["http://www.mendeley.com/documents/?uuid=f45dda38-36a5-4415-a1a1-5f9a590e10be"]}],"mendeley":{"formattedCitation":"[8]","plainTextFormattedCitation":"[8]","previouslyFormattedCitation":"[8]"},"properties":{"noteIndex":0},"schema":"https://github.com/citation-style-language/schema/raw/master/csl-citation.json"}</w:instrText>
      </w:r>
      <w:r w:rsidR="00866BE4" w:rsidRPr="00914426">
        <w:rPr>
          <w:color w:val="000000" w:themeColor="text1"/>
        </w:rPr>
        <w:fldChar w:fldCharType="separate"/>
      </w:r>
      <w:r w:rsidR="00771A31" w:rsidRPr="00914426">
        <w:rPr>
          <w:noProof/>
          <w:color w:val="000000" w:themeColor="text1"/>
        </w:rPr>
        <w:t>[8]</w:t>
      </w:r>
      <w:r w:rsidR="00866BE4" w:rsidRPr="00914426">
        <w:rPr>
          <w:color w:val="000000" w:themeColor="text1"/>
        </w:rPr>
        <w:fldChar w:fldCharType="end"/>
      </w:r>
      <w:r w:rsidR="00866BE4" w:rsidRPr="00914426">
        <w:rPr>
          <w:color w:val="000000" w:themeColor="text1"/>
        </w:rPr>
        <w:t>.</w:t>
      </w:r>
    </w:p>
    <w:p w14:paraId="2C8FAF5E" w14:textId="77777777" w:rsidR="0026524A" w:rsidRPr="00914426" w:rsidRDefault="0026524A" w:rsidP="006101C8">
      <w:pPr>
        <w:rPr>
          <w:color w:val="000000" w:themeColor="text1"/>
        </w:rPr>
      </w:pPr>
    </w:p>
    <w:p w14:paraId="10C48BC6" w14:textId="789ED3EF" w:rsidR="0026524A" w:rsidRPr="00914426" w:rsidRDefault="00A66CCE" w:rsidP="00D748AA">
      <w:pPr>
        <w:ind w:firstLine="0"/>
        <w:jc w:val="center"/>
        <w:rPr>
          <w:color w:val="000000" w:themeColor="text1"/>
        </w:rPr>
      </w:pPr>
      <w:r w:rsidRPr="00914426">
        <w:rPr>
          <w:noProof/>
          <w:color w:val="000000" w:themeColor="text1"/>
        </w:rPr>
        <w:drawing>
          <wp:inline distT="0" distB="0" distL="0" distR="0" wp14:anchorId="00358179" wp14:editId="544C73F3">
            <wp:extent cx="3022006" cy="1752600"/>
            <wp:effectExtent l="0" t="0" r="635" b="0"/>
            <wp:docPr id="87932941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329419" name="Picture 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22006" cy="1752600"/>
                    </a:xfrm>
                    <a:prstGeom prst="rect">
                      <a:avLst/>
                    </a:prstGeom>
                  </pic:spPr>
                </pic:pic>
              </a:graphicData>
            </a:graphic>
          </wp:inline>
        </w:drawing>
      </w:r>
    </w:p>
    <w:p w14:paraId="4BEEF601" w14:textId="77777777" w:rsidR="00F60DDF" w:rsidRPr="00914426" w:rsidRDefault="00F60DDF" w:rsidP="00F60DDF">
      <w:pPr>
        <w:ind w:firstLine="0"/>
        <w:rPr>
          <w:color w:val="000000" w:themeColor="text1"/>
        </w:rPr>
      </w:pPr>
    </w:p>
    <w:p w14:paraId="3D882D95" w14:textId="52E617F4" w:rsidR="0026524A" w:rsidRPr="00914426" w:rsidRDefault="0026524A" w:rsidP="00F60DDF">
      <w:pPr>
        <w:ind w:firstLine="0"/>
        <w:rPr>
          <w:color w:val="000000" w:themeColor="text1"/>
        </w:rPr>
      </w:pPr>
      <w:r w:rsidRPr="00914426">
        <w:rPr>
          <w:b/>
          <w:bCs/>
          <w:color w:val="000000" w:themeColor="text1"/>
        </w:rPr>
        <w:t>Fig</w:t>
      </w:r>
      <w:r w:rsidR="00F60DDF" w:rsidRPr="00914426">
        <w:rPr>
          <w:b/>
          <w:bCs/>
          <w:color w:val="000000" w:themeColor="text1"/>
        </w:rPr>
        <w:t>.</w:t>
      </w:r>
      <w:r w:rsidRPr="00914426">
        <w:rPr>
          <w:b/>
          <w:bCs/>
          <w:color w:val="000000" w:themeColor="text1"/>
        </w:rPr>
        <w:t xml:space="preserve"> 4.</w:t>
      </w:r>
      <w:r w:rsidRPr="00914426">
        <w:rPr>
          <w:color w:val="000000" w:themeColor="text1"/>
        </w:rPr>
        <w:t xml:space="preserve"> </w:t>
      </w:r>
      <w:r w:rsidR="00F01340" w:rsidRPr="00914426">
        <w:rPr>
          <w:color w:val="000000" w:themeColor="text1"/>
        </w:rPr>
        <w:t>Temporal variation of the monitored thermal energy supply (blue line) compared to the theoretical thermal energy requirement (red line) during the drying operation</w:t>
      </w:r>
      <w:r w:rsidRPr="00914426">
        <w:rPr>
          <w:color w:val="000000" w:themeColor="text1"/>
        </w:rPr>
        <w:t>.</w:t>
      </w:r>
    </w:p>
    <w:p w14:paraId="1C58836E" w14:textId="77777777" w:rsidR="0026524A" w:rsidRPr="00914426" w:rsidRDefault="0026524A" w:rsidP="006101C8">
      <w:pPr>
        <w:rPr>
          <w:color w:val="000000" w:themeColor="text1"/>
        </w:rPr>
      </w:pPr>
    </w:p>
    <w:p w14:paraId="613D5418" w14:textId="77777777" w:rsidR="00141042" w:rsidRPr="00914426" w:rsidRDefault="00141042" w:rsidP="00141042">
      <w:pPr>
        <w:pStyle w:val="heading2"/>
        <w:spacing w:before="0"/>
        <w:rPr>
          <w:color w:val="000000" w:themeColor="text1"/>
        </w:rPr>
      </w:pPr>
      <w:r w:rsidRPr="00914426">
        <w:rPr>
          <w:color w:val="000000" w:themeColor="text1"/>
        </w:rPr>
        <w:t>Thermal Energy Gap and Implications for Energy Management</w:t>
      </w:r>
    </w:p>
    <w:p w14:paraId="4F0579DD" w14:textId="6DF7CCB2" w:rsidR="004051E7" w:rsidRPr="00914426" w:rsidRDefault="00213440" w:rsidP="002E3C60">
      <w:pPr>
        <w:rPr>
          <w:color w:val="000000" w:themeColor="text1"/>
        </w:rPr>
      </w:pPr>
      <w:r w:rsidRPr="00213440">
        <w:rPr>
          <w:color w:val="000000" w:themeColor="text1"/>
        </w:rPr>
        <w:t>The average monitored thermal energy supply was about 35,371 kcal h</w:t>
      </w:r>
      <w:r w:rsidRPr="00213440">
        <w:rPr>
          <w:color w:val="000000" w:themeColor="text1"/>
          <w:vertAlign w:val="superscript"/>
        </w:rPr>
        <w:t>-1</w:t>
      </w:r>
      <w:r w:rsidRPr="00213440">
        <w:rPr>
          <w:color w:val="000000" w:themeColor="text1"/>
        </w:rPr>
        <w:t xml:space="preserve"> higher than the theoretical energy requirement of the product.</w:t>
      </w:r>
      <w:r>
        <w:rPr>
          <w:color w:val="000000" w:themeColor="text1"/>
        </w:rPr>
        <w:t xml:space="preserve"> </w:t>
      </w:r>
      <w:r w:rsidR="00400831" w:rsidRPr="00914426">
        <w:rPr>
          <w:color w:val="000000" w:themeColor="text1"/>
        </w:rPr>
        <w:t xml:space="preserve">When compared to the average thermal energy supplied by the hot water circulation of 151,291 kcal h⁻¹, this difference is equivalent to approximately 23.4%. The magnitude of this gap indicates that the thermal energy supplied by the hot water circulation is not entirely utilized to meet the theoretical requirements for heating and product moisture evaporation. </w:t>
      </w:r>
      <w:r w:rsidRPr="00213440">
        <w:rPr>
          <w:color w:val="548DD4" w:themeColor="text2" w:themeTint="99"/>
        </w:rPr>
        <w:t xml:space="preserve">This energy difference is transferred to other parts of the drying system, </w:t>
      </w:r>
      <w:proofErr w:type="gramStart"/>
      <w:r w:rsidRPr="00213440">
        <w:rPr>
          <w:color w:val="548DD4" w:themeColor="text2" w:themeTint="99"/>
        </w:rPr>
        <w:t>e.g.</w:t>
      </w:r>
      <w:proofErr w:type="gramEnd"/>
      <w:r w:rsidRPr="00213440">
        <w:rPr>
          <w:color w:val="548DD4" w:themeColor="text2" w:themeTint="99"/>
        </w:rPr>
        <w:t xml:space="preserve"> heating of the air of the oven, the trays and the oven structures and heat losses through the oven walls, pipes and exhaust air.</w:t>
      </w:r>
      <w:r w:rsidR="00400831" w:rsidRPr="00914426">
        <w:rPr>
          <w:color w:val="000000" w:themeColor="text1"/>
        </w:rPr>
        <w:t xml:space="preserve"> </w:t>
      </w:r>
    </w:p>
    <w:p w14:paraId="205486E9" w14:textId="2D0947B6" w:rsidR="00E818E7" w:rsidRPr="00914426" w:rsidRDefault="00213440" w:rsidP="006101C8">
      <w:pPr>
        <w:rPr>
          <w:color w:val="000000" w:themeColor="text1"/>
        </w:rPr>
      </w:pPr>
      <w:r w:rsidRPr="00213440">
        <w:rPr>
          <w:color w:val="548DD4" w:themeColor="text2" w:themeTint="99"/>
        </w:rPr>
        <w:t>The thermal energy gap can not be completely explained by heat losses to the environment. The theoretical calculations are based mainly on the energy required to heat the product and to evaporate its moisture content. The heat released by the circulation of the hot water is also used to heat the air inside the oven, trays, internal struc-tures, etc., as well as the heat lost through the oven walls, piping, and exhaust air</w:t>
      </w:r>
      <w:r w:rsidR="00771A31" w:rsidRPr="00213440">
        <w:rPr>
          <w:color w:val="548DD4" w:themeColor="text2" w:themeTint="99"/>
        </w:rPr>
        <w:t xml:space="preserve"> </w:t>
      </w:r>
      <w:r w:rsidR="00866BE4" w:rsidRPr="00914426">
        <w:rPr>
          <w:color w:val="000000" w:themeColor="text1"/>
        </w:rPr>
        <w:fldChar w:fldCharType="begin" w:fldLock="1"/>
      </w:r>
      <w:r w:rsidR="00771A31" w:rsidRPr="00914426">
        <w:rPr>
          <w:color w:val="000000" w:themeColor="text1"/>
        </w:rPr>
        <w:instrText>ADDIN CSL_CITATION {"citationItems":[{"id":"ITEM-1","itemData":{"DOI":"10.1016/j.rser.2024.114442","ISSN":"13640321","author":[{"dropping-particle":"","family":"Mondal","given":"Md. Hasan Tarek","non-dropping-particle":"","parse-names":false,"suffix":""},{"dropping-particle":"","family":"Sarker","given":"Md. Sazzat Hossain","non-dropping-particle":"","parse-names":false,"suffix":""}],"container-title":"Renewable and Sustainable Energy Reviews","id":"ITEM-1","issued":{"date-parts":[["2024","7"]]},"page":"114442","title":"Comprehensive energy analysis and environmental sustainability of industrial grain drying","type":"article-journal","volume":"199"},"uris":["http://www.mendeley.com/documents/?uuid=271f62f4-aaa0-4a29-940f-8a24e11aa8ea"]},{"id":"ITEM-2","itemData":{"DOI":"10.1016/j.egypro.2019.02.100","ISSN":"18766102","author":[{"dropping-particle":"","family":"Mukherjee","given":"Sanjay","non-dropping-particle":"","parse-names":false,"suffix":""},{"dropping-particle":"","family":"Asthana","given":"Abhishek","non-dropping-particle":"","parse-names":false,"suffix":""},{"dropping-particle":"","family":"Howarth","given":"Martin","non-dropping-particle":"","parse-names":false,"suffix":""},{"dropping-particle":"","family":"Mcneill","given":"Ryan","non-dropping-particle":"","parse-names":false,"suffix":""},{"dropping-particle":"","family":"Frisby","given":"Ben","non-dropping-particle":"","parse-names":false,"suffix":""}],"container-title":"Energy Procedia","id":"ITEM-2","issued":{"date-parts":[["2019","3"]]},"page":"395-402","title":"Achieving Operational Excellence for Industrial Baking Ovens","type":"article-journal","volume":"161"},"uris":["http://www.mendeley.com/documents/?uuid=acad1982-fd40-48ee-9dea-a7d98f4b89d2"]},{"id":"ITEM-3","itemData":{"DOI":"10.1016/j.apenergy.2015.04.069","ISSN":"03062619","author":[{"dropping-particle":"","family":"Julklang","given":"Wittaya","non-dropping-particle":"","parse-names":false,"suffix":""},{"dropping-particle":"","family":"Golman","given":"Boris","non-dropping-particle":"","parse-names":false,"suffix":""}],"container-title":"Applied Energy","id":"ITEM-3","issued":{"date-parts":[["2015","8"]]},"page":"285-295","title":"Effect of process parameters on energy performance of spray drying with exhaust air heat recovery for production of high value particles","type":"article-journal","volume":"151"},"uris":["http://www.mendeley.com/documents/?uuid=d75b80e1-137b-4a82-8a17-723d5d2e1ee8"]}],"mendeley":{"formattedCitation":"[2], [9], [10]","plainTextFormattedCitation":"[2], [9], [10]","previouslyFormattedCitation":"[2], [9], [10]"},"properties":{"noteIndex":0},"schema":"https://github.com/citation-style-language/schema/raw/master/csl-citation.json"}</w:instrText>
      </w:r>
      <w:r w:rsidR="00866BE4" w:rsidRPr="00914426">
        <w:rPr>
          <w:color w:val="000000" w:themeColor="text1"/>
        </w:rPr>
        <w:fldChar w:fldCharType="separate"/>
      </w:r>
      <w:r w:rsidR="00771A31" w:rsidRPr="00914426">
        <w:rPr>
          <w:noProof/>
          <w:color w:val="000000" w:themeColor="text1"/>
        </w:rPr>
        <w:t>[2], [9], [10]</w:t>
      </w:r>
      <w:r w:rsidR="00866BE4" w:rsidRPr="00914426">
        <w:rPr>
          <w:color w:val="000000" w:themeColor="text1"/>
        </w:rPr>
        <w:fldChar w:fldCharType="end"/>
      </w:r>
      <w:r w:rsidR="00400831" w:rsidRPr="00914426">
        <w:rPr>
          <w:color w:val="000000" w:themeColor="text1"/>
        </w:rPr>
        <w:t xml:space="preserve">. </w:t>
      </w:r>
      <w:r w:rsidR="00E818E7" w:rsidRPr="00914426">
        <w:rPr>
          <w:color w:val="000000" w:themeColor="text1"/>
        </w:rPr>
        <w:t>Since each of these energy transfer pathways is not calculated separately in this study, the observed difference is referred to as the "thermal energy gap"</w:t>
      </w:r>
      <w:r>
        <w:rPr>
          <w:color w:val="000000" w:themeColor="text1"/>
        </w:rPr>
        <w:t>.</w:t>
      </w:r>
      <w:r w:rsidR="00E818E7" w:rsidRPr="00914426">
        <w:rPr>
          <w:color w:val="000000" w:themeColor="text1"/>
        </w:rPr>
        <w:t xml:space="preserve"> </w:t>
      </w:r>
      <w:r w:rsidRPr="00213440">
        <w:rPr>
          <w:color w:val="548DD4" w:themeColor="text2" w:themeTint="99"/>
        </w:rPr>
        <w:t>The difference suggests that part of the thermal energy supplied is not taken into account when calculating the theoretical energy requirements of the product, representing a potential opportunity for further energy optimization.</w:t>
      </w:r>
    </w:p>
    <w:p w14:paraId="58504060" w14:textId="2CBC0F4F" w:rsidR="000C13E0" w:rsidRPr="00914426" w:rsidRDefault="00213440" w:rsidP="006101C8">
      <w:pPr>
        <w:rPr>
          <w:color w:val="000000" w:themeColor="text1"/>
        </w:rPr>
      </w:pPr>
      <w:r w:rsidRPr="00213440">
        <w:rPr>
          <w:color w:val="548DD4" w:themeColor="text2" w:themeTint="99"/>
        </w:rPr>
        <w:t xml:space="preserve">When interpreting the thermal energy difference, the measurement uncertainty is also taken into account. The average inlet water temperatures during the monitoring period were 96.86 °C and the average outlet water temperatures were 91.36 °C, which resulted in a </w:t>
      </w:r>
      <w:r w:rsidRPr="00213440">
        <w:rPr>
          <w:i/>
          <w:iCs/>
          <w:color w:val="548DD4" w:themeColor="text2" w:themeTint="99"/>
        </w:rPr>
        <w:t>ΔT</w:t>
      </w:r>
      <w:r w:rsidRPr="00213440">
        <w:rPr>
          <w:color w:val="548DD4" w:themeColor="text2" w:themeTint="99"/>
        </w:rPr>
        <w:t xml:space="preserve"> of 5.50 °C</w:t>
      </w:r>
      <w:r w:rsidR="000C13E0" w:rsidRPr="00914426">
        <w:rPr>
          <w:color w:val="000000" w:themeColor="text1"/>
        </w:rPr>
        <w:t xml:space="preserve">. Based on the PT100 measurement error specification of ±0.5 °C, the propagated uncertainty in </w:t>
      </w:r>
      <w:r w:rsidR="000C13E0" w:rsidRPr="00914426">
        <w:rPr>
          <w:i/>
          <w:iCs/>
          <w:color w:val="000000" w:themeColor="text1"/>
        </w:rPr>
        <w:t>ΔT</w:t>
      </w:r>
      <w:r w:rsidR="000C13E0" w:rsidRPr="00914426">
        <w:rPr>
          <w:color w:val="000000" w:themeColor="text1"/>
        </w:rPr>
        <w:t xml:space="preserve"> is ±0.71 °C (a relative uncertainty of 12.86%). The vortex flow meter, with a measurement error specification of ±2.5% of the reading, results in a relative uncertainty of 2.50% for the water flow measurement. Propagating these measurement errors yields an estimated relative uncertainty of approximately 13.10% in the thermal energy supply calculation. </w:t>
      </w:r>
      <w:r w:rsidR="000C13E0" w:rsidRPr="00914426">
        <w:rPr>
          <w:b/>
          <w:bCs/>
          <w:color w:val="000000" w:themeColor="text1"/>
        </w:rPr>
        <w:t xml:space="preserve">Table 1 </w:t>
      </w:r>
      <w:r w:rsidR="000C13E0" w:rsidRPr="00914426">
        <w:rPr>
          <w:color w:val="000000" w:themeColor="text1"/>
        </w:rPr>
        <w:t>summarizes these results.</w:t>
      </w:r>
    </w:p>
    <w:p w14:paraId="40312750" w14:textId="73B5AC9B" w:rsidR="00097491" w:rsidRPr="00914426" w:rsidRDefault="005E7772" w:rsidP="005E7772">
      <w:pPr>
        <w:spacing w:before="240" w:after="120" w:line="220" w:lineRule="atLeast"/>
        <w:ind w:firstLine="0"/>
        <w:jc w:val="center"/>
        <w:rPr>
          <w:color w:val="000000" w:themeColor="text1"/>
          <w:sz w:val="18"/>
          <w:szCs w:val="18"/>
        </w:rPr>
      </w:pPr>
      <w:r w:rsidRPr="00914426">
        <w:rPr>
          <w:b/>
          <w:bCs/>
          <w:color w:val="000000" w:themeColor="text1"/>
          <w:sz w:val="18"/>
          <w:szCs w:val="18"/>
        </w:rPr>
        <w:t>Table 1.</w:t>
      </w:r>
      <w:r w:rsidRPr="00914426">
        <w:rPr>
          <w:color w:val="000000" w:themeColor="text1"/>
          <w:sz w:val="18"/>
          <w:szCs w:val="18"/>
        </w:rPr>
        <w:t xml:space="preserve"> Measurement uncertainty propagation in thermal energy evaluation.</w:t>
      </w:r>
    </w:p>
    <w:tbl>
      <w:tblPr>
        <w:tblStyle w:val="TableGrid"/>
        <w:tblW w:w="0" w:type="auto"/>
        <w:tblBorders>
          <w:top w:val="single" w:sz="1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7"/>
        <w:gridCol w:w="1727"/>
        <w:gridCol w:w="1727"/>
        <w:gridCol w:w="1727"/>
      </w:tblGrid>
      <w:tr w:rsidR="00914426" w:rsidRPr="00914426" w14:paraId="3AA30705" w14:textId="77777777" w:rsidTr="00097491">
        <w:tc>
          <w:tcPr>
            <w:tcW w:w="1727" w:type="dxa"/>
            <w:tcBorders>
              <w:top w:val="single" w:sz="18" w:space="0" w:color="auto"/>
              <w:bottom w:val="single" w:sz="6" w:space="0" w:color="auto"/>
            </w:tcBorders>
            <w:vAlign w:val="center"/>
          </w:tcPr>
          <w:p w14:paraId="05678BC2" w14:textId="371BD7DD" w:rsidR="00097491" w:rsidRPr="00914426" w:rsidRDefault="00097491" w:rsidP="00097491">
            <w:pPr>
              <w:ind w:firstLine="0"/>
              <w:jc w:val="center"/>
              <w:rPr>
                <w:color w:val="000000" w:themeColor="text1"/>
                <w:sz w:val="18"/>
                <w:szCs w:val="18"/>
              </w:rPr>
            </w:pPr>
            <w:r w:rsidRPr="00914426">
              <w:rPr>
                <w:color w:val="000000" w:themeColor="text1"/>
                <w:sz w:val="18"/>
                <w:szCs w:val="18"/>
                <w:lang w:val="en-JP" w:eastAsia="ja-JP"/>
              </w:rPr>
              <w:t>Parameter</w:t>
            </w:r>
          </w:p>
        </w:tc>
        <w:tc>
          <w:tcPr>
            <w:tcW w:w="1727" w:type="dxa"/>
            <w:tcBorders>
              <w:top w:val="single" w:sz="18" w:space="0" w:color="auto"/>
              <w:bottom w:val="single" w:sz="6" w:space="0" w:color="auto"/>
            </w:tcBorders>
            <w:vAlign w:val="center"/>
          </w:tcPr>
          <w:p w14:paraId="70694BD8" w14:textId="3A2BC414" w:rsidR="00097491" w:rsidRPr="00914426" w:rsidRDefault="005E7772" w:rsidP="00097491">
            <w:pPr>
              <w:ind w:firstLine="0"/>
              <w:jc w:val="center"/>
              <w:rPr>
                <w:color w:val="000000" w:themeColor="text1"/>
                <w:sz w:val="18"/>
                <w:szCs w:val="18"/>
              </w:rPr>
            </w:pPr>
            <w:r w:rsidRPr="00914426">
              <w:rPr>
                <w:color w:val="000000" w:themeColor="text1"/>
                <w:sz w:val="18"/>
                <w:szCs w:val="18"/>
                <w:lang w:eastAsia="ja-JP"/>
              </w:rPr>
              <w:t>Average</w:t>
            </w:r>
          </w:p>
        </w:tc>
        <w:tc>
          <w:tcPr>
            <w:tcW w:w="1727" w:type="dxa"/>
            <w:tcBorders>
              <w:top w:val="single" w:sz="18" w:space="0" w:color="auto"/>
              <w:bottom w:val="single" w:sz="6" w:space="0" w:color="auto"/>
            </w:tcBorders>
            <w:vAlign w:val="center"/>
          </w:tcPr>
          <w:p w14:paraId="128F8A6B" w14:textId="069941EB" w:rsidR="00097491" w:rsidRPr="00914426" w:rsidRDefault="00097491" w:rsidP="00097491">
            <w:pPr>
              <w:ind w:firstLine="0"/>
              <w:jc w:val="center"/>
              <w:rPr>
                <w:color w:val="000000" w:themeColor="text1"/>
                <w:sz w:val="18"/>
                <w:szCs w:val="18"/>
              </w:rPr>
            </w:pPr>
            <w:r w:rsidRPr="00914426">
              <w:rPr>
                <w:color w:val="000000" w:themeColor="text1"/>
                <w:sz w:val="18"/>
                <w:szCs w:val="18"/>
                <w:lang w:val="en-JP" w:eastAsia="ja-JP"/>
              </w:rPr>
              <w:t>Measurement uncertainty</w:t>
            </w:r>
          </w:p>
        </w:tc>
        <w:tc>
          <w:tcPr>
            <w:tcW w:w="1727" w:type="dxa"/>
            <w:tcBorders>
              <w:top w:val="single" w:sz="18" w:space="0" w:color="auto"/>
              <w:bottom w:val="single" w:sz="6" w:space="0" w:color="auto"/>
            </w:tcBorders>
            <w:vAlign w:val="center"/>
          </w:tcPr>
          <w:p w14:paraId="27BDE265" w14:textId="4082780A" w:rsidR="00097491" w:rsidRPr="00914426" w:rsidRDefault="00097491" w:rsidP="00097491">
            <w:pPr>
              <w:ind w:firstLine="0"/>
              <w:jc w:val="center"/>
              <w:rPr>
                <w:color w:val="000000" w:themeColor="text1"/>
                <w:sz w:val="18"/>
                <w:szCs w:val="18"/>
              </w:rPr>
            </w:pPr>
            <w:r w:rsidRPr="00914426">
              <w:rPr>
                <w:color w:val="000000" w:themeColor="text1"/>
                <w:sz w:val="18"/>
                <w:szCs w:val="18"/>
                <w:lang w:val="en-JP" w:eastAsia="ja-JP"/>
              </w:rPr>
              <w:t>Relative uncertainty (%)</w:t>
            </w:r>
          </w:p>
        </w:tc>
      </w:tr>
      <w:tr w:rsidR="00914426" w:rsidRPr="00914426" w14:paraId="38A39747" w14:textId="77777777" w:rsidTr="00097491">
        <w:tc>
          <w:tcPr>
            <w:tcW w:w="1727" w:type="dxa"/>
            <w:tcBorders>
              <w:top w:val="single" w:sz="6" w:space="0" w:color="auto"/>
            </w:tcBorders>
            <w:vAlign w:val="center"/>
          </w:tcPr>
          <w:p w14:paraId="1B512BDA" w14:textId="0C3B7092" w:rsidR="00097491" w:rsidRPr="00914426" w:rsidRDefault="00097491" w:rsidP="005E7772">
            <w:pPr>
              <w:ind w:firstLine="0"/>
              <w:jc w:val="left"/>
              <w:rPr>
                <w:color w:val="000000" w:themeColor="text1"/>
                <w:sz w:val="18"/>
                <w:szCs w:val="18"/>
              </w:rPr>
            </w:pPr>
            <w:r w:rsidRPr="00914426">
              <w:rPr>
                <w:color w:val="000000" w:themeColor="text1"/>
                <w:sz w:val="18"/>
                <w:szCs w:val="18"/>
                <w:lang w:val="en-JP" w:eastAsia="ja-JP"/>
              </w:rPr>
              <w:t>Temperature difference,</w:t>
            </w:r>
            <w:r w:rsidRPr="00914426">
              <w:rPr>
                <w:color w:val="000000" w:themeColor="text1"/>
                <w:sz w:val="18"/>
                <w:szCs w:val="18"/>
                <w:lang w:eastAsia="ja-JP"/>
              </w:rPr>
              <w:t xml:space="preserve"> </w:t>
            </w:r>
            <w:r w:rsidRPr="00914426">
              <w:rPr>
                <w:i/>
                <w:iCs/>
                <w:color w:val="000000" w:themeColor="text1"/>
              </w:rPr>
              <w:t>ΔT</w:t>
            </w:r>
          </w:p>
        </w:tc>
        <w:tc>
          <w:tcPr>
            <w:tcW w:w="1727" w:type="dxa"/>
            <w:tcBorders>
              <w:top w:val="single" w:sz="6" w:space="0" w:color="auto"/>
            </w:tcBorders>
            <w:vAlign w:val="center"/>
          </w:tcPr>
          <w:p w14:paraId="140C064A" w14:textId="220C3888" w:rsidR="00097491" w:rsidRPr="00914426" w:rsidRDefault="00097491" w:rsidP="005E7772">
            <w:pPr>
              <w:ind w:firstLine="0"/>
              <w:jc w:val="right"/>
              <w:rPr>
                <w:color w:val="000000" w:themeColor="text1"/>
                <w:sz w:val="18"/>
                <w:szCs w:val="18"/>
              </w:rPr>
            </w:pPr>
            <w:r w:rsidRPr="00914426">
              <w:rPr>
                <w:color w:val="000000" w:themeColor="text1"/>
                <w:sz w:val="18"/>
                <w:szCs w:val="18"/>
                <w:lang w:val="en-JP" w:eastAsia="ja-JP"/>
              </w:rPr>
              <w:t>5.50 °C</w:t>
            </w:r>
          </w:p>
        </w:tc>
        <w:tc>
          <w:tcPr>
            <w:tcW w:w="1727" w:type="dxa"/>
            <w:tcBorders>
              <w:top w:val="single" w:sz="6" w:space="0" w:color="auto"/>
            </w:tcBorders>
            <w:vAlign w:val="center"/>
          </w:tcPr>
          <w:p w14:paraId="2C5A1249" w14:textId="49E17426" w:rsidR="00097491" w:rsidRPr="00914426" w:rsidRDefault="00097491" w:rsidP="005E7772">
            <w:pPr>
              <w:ind w:firstLine="0"/>
              <w:jc w:val="right"/>
              <w:rPr>
                <w:color w:val="000000" w:themeColor="text1"/>
                <w:sz w:val="18"/>
                <w:szCs w:val="18"/>
              </w:rPr>
            </w:pPr>
            <w:r w:rsidRPr="00914426">
              <w:rPr>
                <w:color w:val="000000" w:themeColor="text1"/>
                <w:sz w:val="18"/>
                <w:szCs w:val="18"/>
                <w:lang w:val="en-JP" w:eastAsia="ja-JP"/>
              </w:rPr>
              <w:t>±0.71 °C</w:t>
            </w:r>
          </w:p>
        </w:tc>
        <w:tc>
          <w:tcPr>
            <w:tcW w:w="1727" w:type="dxa"/>
            <w:tcBorders>
              <w:top w:val="single" w:sz="6" w:space="0" w:color="auto"/>
            </w:tcBorders>
            <w:vAlign w:val="center"/>
          </w:tcPr>
          <w:p w14:paraId="167C465A" w14:textId="6931BF3A" w:rsidR="00097491" w:rsidRPr="00914426" w:rsidRDefault="00097491" w:rsidP="005E7772">
            <w:pPr>
              <w:ind w:firstLine="0"/>
              <w:jc w:val="right"/>
              <w:rPr>
                <w:color w:val="000000" w:themeColor="text1"/>
                <w:sz w:val="18"/>
                <w:szCs w:val="18"/>
              </w:rPr>
            </w:pPr>
            <w:r w:rsidRPr="00914426">
              <w:rPr>
                <w:color w:val="000000" w:themeColor="text1"/>
                <w:sz w:val="18"/>
                <w:szCs w:val="18"/>
                <w:lang w:val="en-JP" w:eastAsia="ja-JP"/>
              </w:rPr>
              <w:t>12.86</w:t>
            </w:r>
          </w:p>
        </w:tc>
      </w:tr>
      <w:tr w:rsidR="00914426" w:rsidRPr="00914426" w14:paraId="0C6C123E" w14:textId="77777777" w:rsidTr="00097491">
        <w:tc>
          <w:tcPr>
            <w:tcW w:w="1727" w:type="dxa"/>
            <w:vAlign w:val="center"/>
          </w:tcPr>
          <w:p w14:paraId="76EF5B8D" w14:textId="31BAE33C" w:rsidR="00097491" w:rsidRPr="00914426" w:rsidRDefault="00097491" w:rsidP="005E7772">
            <w:pPr>
              <w:ind w:firstLine="0"/>
              <w:jc w:val="left"/>
              <w:rPr>
                <w:color w:val="000000" w:themeColor="text1"/>
                <w:sz w:val="18"/>
                <w:szCs w:val="18"/>
              </w:rPr>
            </w:pPr>
            <w:r w:rsidRPr="00914426">
              <w:rPr>
                <w:color w:val="000000" w:themeColor="text1"/>
                <w:sz w:val="18"/>
                <w:szCs w:val="18"/>
                <w:lang w:val="en-JP" w:eastAsia="ja-JP"/>
              </w:rPr>
              <w:t>Water flow rate</w:t>
            </w:r>
            <w:r w:rsidRPr="00914426">
              <w:rPr>
                <w:color w:val="000000" w:themeColor="text1"/>
                <w:sz w:val="18"/>
                <w:szCs w:val="18"/>
                <w:lang w:eastAsia="ja-JP"/>
              </w:rPr>
              <w:t xml:space="preserve">, </w:t>
            </w:r>
            <m:oMath>
              <m:acc>
                <m:accPr>
                  <m:chr m:val="̇"/>
                  <m:ctrlPr>
                    <w:rPr>
                      <w:rFonts w:ascii="Cambria Math" w:hAnsi="Cambria Math"/>
                      <w:i/>
                      <w:color w:val="000000" w:themeColor="text1"/>
                    </w:rPr>
                  </m:ctrlPr>
                </m:accPr>
                <m:e>
                  <m:r>
                    <w:rPr>
                      <w:rFonts w:ascii="Cambria Math" w:hAnsi="Cambria Math"/>
                      <w:color w:val="000000" w:themeColor="text1"/>
                    </w:rPr>
                    <m:t>m</m:t>
                  </m:r>
                </m:e>
              </m:acc>
            </m:oMath>
          </w:p>
        </w:tc>
        <w:tc>
          <w:tcPr>
            <w:tcW w:w="1727" w:type="dxa"/>
            <w:vAlign w:val="center"/>
          </w:tcPr>
          <w:p w14:paraId="57982B7B" w14:textId="7AD54FAE" w:rsidR="00097491" w:rsidRPr="00914426" w:rsidRDefault="00097491" w:rsidP="005E7772">
            <w:pPr>
              <w:ind w:firstLine="0"/>
              <w:jc w:val="right"/>
              <w:rPr>
                <w:color w:val="000000" w:themeColor="text1"/>
                <w:sz w:val="18"/>
                <w:szCs w:val="18"/>
              </w:rPr>
            </w:pPr>
            <w:r w:rsidRPr="00914426">
              <w:rPr>
                <w:color w:val="000000" w:themeColor="text1"/>
                <w:sz w:val="18"/>
                <w:szCs w:val="18"/>
                <w:lang w:val="en-JP" w:eastAsia="ja-JP"/>
              </w:rPr>
              <w:t>27.52 m³ h⁻¹</w:t>
            </w:r>
          </w:p>
        </w:tc>
        <w:tc>
          <w:tcPr>
            <w:tcW w:w="1727" w:type="dxa"/>
            <w:vAlign w:val="center"/>
          </w:tcPr>
          <w:p w14:paraId="03C8DFE2" w14:textId="645EBBFF" w:rsidR="00097491" w:rsidRPr="00914426" w:rsidRDefault="00097491" w:rsidP="005E7772">
            <w:pPr>
              <w:ind w:firstLine="0"/>
              <w:jc w:val="right"/>
              <w:rPr>
                <w:color w:val="000000" w:themeColor="text1"/>
                <w:sz w:val="18"/>
                <w:szCs w:val="18"/>
              </w:rPr>
            </w:pPr>
            <w:r w:rsidRPr="00914426">
              <w:rPr>
                <w:color w:val="000000" w:themeColor="text1"/>
                <w:sz w:val="18"/>
                <w:szCs w:val="18"/>
                <w:lang w:val="en-JP" w:eastAsia="ja-JP"/>
              </w:rPr>
              <w:t>±0.69 m³ h⁻¹</w:t>
            </w:r>
          </w:p>
        </w:tc>
        <w:tc>
          <w:tcPr>
            <w:tcW w:w="1727" w:type="dxa"/>
            <w:vAlign w:val="center"/>
          </w:tcPr>
          <w:p w14:paraId="4C419E8B" w14:textId="215F1428" w:rsidR="00097491" w:rsidRPr="00914426" w:rsidRDefault="00097491" w:rsidP="005E7772">
            <w:pPr>
              <w:ind w:firstLine="0"/>
              <w:jc w:val="right"/>
              <w:rPr>
                <w:color w:val="000000" w:themeColor="text1"/>
                <w:sz w:val="18"/>
                <w:szCs w:val="18"/>
              </w:rPr>
            </w:pPr>
            <w:r w:rsidRPr="00914426">
              <w:rPr>
                <w:color w:val="000000" w:themeColor="text1"/>
                <w:sz w:val="18"/>
                <w:szCs w:val="18"/>
                <w:lang w:val="en-JP" w:eastAsia="ja-JP"/>
              </w:rPr>
              <w:t>2.50</w:t>
            </w:r>
          </w:p>
        </w:tc>
      </w:tr>
      <w:tr w:rsidR="00914426" w:rsidRPr="00914426" w14:paraId="799E9F50" w14:textId="77777777" w:rsidTr="00097491">
        <w:tc>
          <w:tcPr>
            <w:tcW w:w="1727" w:type="dxa"/>
            <w:tcBorders>
              <w:bottom w:val="nil"/>
            </w:tcBorders>
            <w:vAlign w:val="center"/>
          </w:tcPr>
          <w:p w14:paraId="29047C89" w14:textId="52D46A9E" w:rsidR="00097491" w:rsidRPr="00914426" w:rsidRDefault="00097491" w:rsidP="005E7772">
            <w:pPr>
              <w:ind w:firstLine="0"/>
              <w:jc w:val="left"/>
              <w:rPr>
                <w:color w:val="000000" w:themeColor="text1"/>
                <w:sz w:val="18"/>
                <w:szCs w:val="18"/>
              </w:rPr>
            </w:pPr>
            <w:r w:rsidRPr="00914426">
              <w:rPr>
                <w:color w:val="000000" w:themeColor="text1"/>
                <w:sz w:val="18"/>
                <w:szCs w:val="18"/>
                <w:lang w:val="en-JP" w:eastAsia="ja-JP"/>
              </w:rPr>
              <w:t>Actual thermal energy supply</w:t>
            </w:r>
            <w:r w:rsidRPr="00914426">
              <w:rPr>
                <w:color w:val="000000" w:themeColor="text1"/>
                <w:sz w:val="18"/>
                <w:szCs w:val="18"/>
                <w:lang w:eastAsia="ja-JP"/>
              </w:rPr>
              <w:t xml:space="preserve">, </w:t>
            </w:r>
            <m:oMath>
              <m:acc>
                <m:accPr>
                  <m:chr m:val="̇"/>
                  <m:ctrlPr>
                    <w:rPr>
                      <w:rFonts w:ascii="Cambria Math" w:hAnsi="Cambria Math"/>
                      <w:i/>
                      <w:color w:val="000000" w:themeColor="text1"/>
                    </w:rPr>
                  </m:ctrlPr>
                </m:accPr>
                <m:e>
                  <m:r>
                    <w:rPr>
                      <w:rFonts w:ascii="Cambria Math" w:hAnsi="Cambria Math"/>
                      <w:color w:val="000000" w:themeColor="text1"/>
                    </w:rPr>
                    <m:t>Q</m:t>
                  </m:r>
                </m:e>
              </m:acc>
            </m:oMath>
          </w:p>
        </w:tc>
        <w:tc>
          <w:tcPr>
            <w:tcW w:w="1727" w:type="dxa"/>
            <w:tcBorders>
              <w:bottom w:val="nil"/>
            </w:tcBorders>
            <w:vAlign w:val="center"/>
          </w:tcPr>
          <w:p w14:paraId="2C2A6D76" w14:textId="0DF85F7D" w:rsidR="00097491" w:rsidRPr="00914426" w:rsidRDefault="00097491" w:rsidP="005E7772">
            <w:pPr>
              <w:ind w:firstLine="0"/>
              <w:jc w:val="right"/>
              <w:rPr>
                <w:color w:val="000000" w:themeColor="text1"/>
                <w:sz w:val="18"/>
                <w:szCs w:val="18"/>
              </w:rPr>
            </w:pPr>
            <w:r w:rsidRPr="00914426">
              <w:rPr>
                <w:color w:val="000000" w:themeColor="text1"/>
                <w:sz w:val="18"/>
                <w:szCs w:val="18"/>
                <w:lang w:val="en-JP" w:eastAsia="ja-JP"/>
              </w:rPr>
              <w:t>151,291 kcal h⁻¹</w:t>
            </w:r>
          </w:p>
        </w:tc>
        <w:tc>
          <w:tcPr>
            <w:tcW w:w="1727" w:type="dxa"/>
            <w:tcBorders>
              <w:bottom w:val="nil"/>
            </w:tcBorders>
            <w:vAlign w:val="center"/>
          </w:tcPr>
          <w:p w14:paraId="72B60B99" w14:textId="0C7400F3" w:rsidR="00097491" w:rsidRPr="00914426" w:rsidRDefault="00097491" w:rsidP="005E7772">
            <w:pPr>
              <w:ind w:firstLine="0"/>
              <w:jc w:val="right"/>
              <w:rPr>
                <w:color w:val="000000" w:themeColor="text1"/>
                <w:sz w:val="18"/>
                <w:szCs w:val="18"/>
              </w:rPr>
            </w:pPr>
            <w:r w:rsidRPr="00914426">
              <w:rPr>
                <w:color w:val="000000" w:themeColor="text1"/>
                <w:sz w:val="18"/>
                <w:szCs w:val="18"/>
                <w:lang w:val="en-JP" w:eastAsia="ja-JP"/>
              </w:rPr>
              <w:t>±19,814 kcal h⁻¹</w:t>
            </w:r>
          </w:p>
        </w:tc>
        <w:tc>
          <w:tcPr>
            <w:tcW w:w="1727" w:type="dxa"/>
            <w:tcBorders>
              <w:bottom w:val="nil"/>
            </w:tcBorders>
            <w:vAlign w:val="center"/>
          </w:tcPr>
          <w:p w14:paraId="4CE7F494" w14:textId="59552924" w:rsidR="00097491" w:rsidRPr="00914426" w:rsidRDefault="00097491" w:rsidP="005E7772">
            <w:pPr>
              <w:ind w:firstLine="0"/>
              <w:jc w:val="right"/>
              <w:rPr>
                <w:color w:val="000000" w:themeColor="text1"/>
                <w:sz w:val="18"/>
                <w:szCs w:val="18"/>
              </w:rPr>
            </w:pPr>
            <w:r w:rsidRPr="00914426">
              <w:rPr>
                <w:color w:val="000000" w:themeColor="text1"/>
                <w:sz w:val="18"/>
                <w:szCs w:val="18"/>
                <w:lang w:val="en-JP" w:eastAsia="ja-JP"/>
              </w:rPr>
              <w:t>13.10</w:t>
            </w:r>
          </w:p>
        </w:tc>
      </w:tr>
      <w:tr w:rsidR="00097491" w:rsidRPr="00914426" w14:paraId="6C68868E" w14:textId="77777777" w:rsidTr="00097491">
        <w:tc>
          <w:tcPr>
            <w:tcW w:w="1727" w:type="dxa"/>
            <w:tcBorders>
              <w:top w:val="nil"/>
              <w:bottom w:val="single" w:sz="18" w:space="0" w:color="auto"/>
            </w:tcBorders>
            <w:vAlign w:val="center"/>
          </w:tcPr>
          <w:p w14:paraId="2DA7E94E" w14:textId="35355F7D" w:rsidR="00097491" w:rsidRPr="00914426" w:rsidRDefault="00097491" w:rsidP="005E7772">
            <w:pPr>
              <w:ind w:firstLine="0"/>
              <w:jc w:val="left"/>
              <w:rPr>
                <w:color w:val="000000" w:themeColor="text1"/>
                <w:sz w:val="18"/>
                <w:szCs w:val="18"/>
              </w:rPr>
            </w:pPr>
            <w:r w:rsidRPr="00914426">
              <w:rPr>
                <w:color w:val="000000" w:themeColor="text1"/>
                <w:sz w:val="18"/>
                <w:szCs w:val="18"/>
                <w:lang w:val="en-JP" w:eastAsia="ja-JP"/>
              </w:rPr>
              <w:t>Thermal energy gap</w:t>
            </w:r>
          </w:p>
        </w:tc>
        <w:tc>
          <w:tcPr>
            <w:tcW w:w="1727" w:type="dxa"/>
            <w:tcBorders>
              <w:top w:val="nil"/>
              <w:bottom w:val="single" w:sz="18" w:space="0" w:color="auto"/>
            </w:tcBorders>
            <w:vAlign w:val="center"/>
          </w:tcPr>
          <w:p w14:paraId="1DAE2BE1" w14:textId="426E45CA" w:rsidR="00097491" w:rsidRPr="00914426" w:rsidRDefault="00097491" w:rsidP="005E7772">
            <w:pPr>
              <w:ind w:firstLine="0"/>
              <w:jc w:val="right"/>
              <w:rPr>
                <w:color w:val="000000" w:themeColor="text1"/>
                <w:sz w:val="18"/>
                <w:szCs w:val="18"/>
              </w:rPr>
            </w:pPr>
            <w:r w:rsidRPr="00914426">
              <w:rPr>
                <w:color w:val="000000" w:themeColor="text1"/>
                <w:sz w:val="18"/>
                <w:szCs w:val="18"/>
                <w:lang w:val="en-JP" w:eastAsia="ja-JP"/>
              </w:rPr>
              <w:t>35,371 kcal h⁻¹</w:t>
            </w:r>
          </w:p>
        </w:tc>
        <w:tc>
          <w:tcPr>
            <w:tcW w:w="1727" w:type="dxa"/>
            <w:tcBorders>
              <w:top w:val="nil"/>
              <w:bottom w:val="single" w:sz="18" w:space="0" w:color="auto"/>
            </w:tcBorders>
            <w:vAlign w:val="center"/>
          </w:tcPr>
          <w:p w14:paraId="3DD628B6" w14:textId="1B783731" w:rsidR="00097491" w:rsidRPr="00914426" w:rsidRDefault="00097491" w:rsidP="005E7772">
            <w:pPr>
              <w:ind w:firstLine="0"/>
              <w:jc w:val="right"/>
              <w:rPr>
                <w:color w:val="000000" w:themeColor="text1"/>
                <w:sz w:val="18"/>
                <w:szCs w:val="18"/>
              </w:rPr>
            </w:pPr>
            <w:r w:rsidRPr="00914426">
              <w:rPr>
                <w:color w:val="000000" w:themeColor="text1"/>
                <w:sz w:val="18"/>
                <w:szCs w:val="18"/>
                <w:lang w:val="en-JP" w:eastAsia="ja-JP"/>
              </w:rPr>
              <w:t>±19,814 kcal h⁻¹</w:t>
            </w:r>
          </w:p>
        </w:tc>
        <w:tc>
          <w:tcPr>
            <w:tcW w:w="1727" w:type="dxa"/>
            <w:tcBorders>
              <w:top w:val="nil"/>
              <w:bottom w:val="single" w:sz="18" w:space="0" w:color="auto"/>
            </w:tcBorders>
            <w:vAlign w:val="center"/>
          </w:tcPr>
          <w:p w14:paraId="5BE49D04" w14:textId="6DEA2059" w:rsidR="00097491" w:rsidRPr="00914426" w:rsidRDefault="00097491" w:rsidP="005E7772">
            <w:pPr>
              <w:ind w:firstLine="0"/>
              <w:jc w:val="right"/>
              <w:rPr>
                <w:color w:val="000000" w:themeColor="text1"/>
                <w:sz w:val="18"/>
                <w:szCs w:val="18"/>
              </w:rPr>
            </w:pPr>
            <w:r w:rsidRPr="00914426">
              <w:rPr>
                <w:color w:val="000000" w:themeColor="text1"/>
                <w:sz w:val="18"/>
                <w:szCs w:val="18"/>
                <w:lang w:val="en-JP" w:eastAsia="ja-JP"/>
              </w:rPr>
              <w:t>56.02</w:t>
            </w:r>
          </w:p>
        </w:tc>
      </w:tr>
    </w:tbl>
    <w:p w14:paraId="6E2EFBE9" w14:textId="77777777" w:rsidR="00097491" w:rsidRPr="00914426" w:rsidRDefault="00097491" w:rsidP="006101C8">
      <w:pPr>
        <w:rPr>
          <w:color w:val="000000" w:themeColor="text1"/>
        </w:rPr>
      </w:pPr>
    </w:p>
    <w:p w14:paraId="636E19DC" w14:textId="4080A8AE" w:rsidR="00B020F9" w:rsidRPr="00914426" w:rsidRDefault="00213440" w:rsidP="006101C8">
      <w:pPr>
        <w:rPr>
          <w:color w:val="000000" w:themeColor="text1"/>
        </w:rPr>
      </w:pPr>
      <w:r w:rsidRPr="00213440">
        <w:rPr>
          <w:color w:val="548DD4" w:themeColor="text2" w:themeTint="99"/>
        </w:rPr>
        <w:t>The calculated uncertainty in the actual thermal energy supply is approximately 13.10%, corresponding to ±19,814 kcal h⁻¹. This degree of uncertainty is considerable relative to the calculated thermal energy difference of 35,371 kcal h⁻¹. The elevated uncertainty results from the small temperature differential between the inlet and outlet, which amplifies the impact of PT100 measurement error. Therefore, the 23.4% thermal energy difference should be regarded as an estimate of the discrepancy between the monitored thermal supply and the product's theoretical requirements, rather than as an exact quantification of heat loss</w:t>
      </w:r>
      <w:r w:rsidR="00B020F9" w:rsidRPr="00914426">
        <w:rPr>
          <w:color w:val="000000" w:themeColor="text1"/>
        </w:rPr>
        <w:t>.</w:t>
      </w:r>
    </w:p>
    <w:p w14:paraId="1307AD86" w14:textId="3A5A89C0" w:rsidR="00400831" w:rsidRPr="00914426" w:rsidRDefault="00213440" w:rsidP="00263475">
      <w:pPr>
        <w:rPr>
          <w:color w:val="000000" w:themeColor="text1"/>
        </w:rPr>
      </w:pPr>
      <w:r w:rsidRPr="00213440">
        <w:rPr>
          <w:color w:val="548DD4" w:themeColor="text2" w:themeTint="99"/>
        </w:rPr>
        <w:t>Research indicates that energy management optimization is possible by adjusting hot water temperature and flow rate.</w:t>
      </w:r>
      <w:r w:rsidR="00263475" w:rsidRPr="00213440">
        <w:rPr>
          <w:color w:val="548DD4" w:themeColor="text2" w:themeTint="99"/>
        </w:rPr>
        <w:t xml:space="preserve"> </w:t>
      </w:r>
      <w:r w:rsidR="00263475" w:rsidRPr="00914426">
        <w:rPr>
          <w:color w:val="000000" w:themeColor="text1"/>
        </w:rPr>
        <w:t>When the supplied energy exceeds theoretical requirements, the hot water temperature or flow rate can be reduced; conversely, when the energy supply approaches or falls below theoretical requirements, no reduction is necessary.</w:t>
      </w:r>
      <w:r w:rsidR="00E818E7" w:rsidRPr="00914426">
        <w:rPr>
          <w:color w:val="000000" w:themeColor="text1"/>
        </w:rPr>
        <w:t xml:space="preserve"> </w:t>
      </w:r>
      <w:r w:rsidR="00263475" w:rsidRPr="00914426">
        <w:rPr>
          <w:color w:val="000000" w:themeColor="text1"/>
        </w:rPr>
        <w:t>Although</w:t>
      </w:r>
      <w:r w:rsidR="00E818E7" w:rsidRPr="00914426">
        <w:rPr>
          <w:color w:val="000000" w:themeColor="text1"/>
        </w:rPr>
        <w:t xml:space="preserve"> </w:t>
      </w:r>
      <w:r w:rsidR="00263475" w:rsidRPr="00914426">
        <w:rPr>
          <w:color w:val="000000" w:themeColor="text1"/>
        </w:rPr>
        <w:t xml:space="preserve">an energy supply surplus was observed on average, the supplied energy was not constant throughout the process. </w:t>
      </w:r>
      <w:r w:rsidRPr="00213440">
        <w:rPr>
          <w:color w:val="548DD4" w:themeColor="text2" w:themeTint="99"/>
        </w:rPr>
        <w:t>In some periods the energy available was close to or even less than the theoretical requirements. Therefore, decreasing water temperature or flow rate without considering the energy needs in the particular operating conditions could lead to a smaller energy supply than that required for the drying process. In these cases, regular monitoring is necessary to be able to follow the variations in the energy supplied during the process and to find when the energy supplied is higher or similar to the drying needs.</w:t>
      </w:r>
      <w:r w:rsidR="00771A31" w:rsidRPr="00213440">
        <w:rPr>
          <w:color w:val="548DD4" w:themeColor="text2" w:themeTint="99"/>
        </w:rPr>
        <w:t xml:space="preserve"> </w:t>
      </w:r>
      <w:r w:rsidR="00771A31" w:rsidRPr="00213440">
        <w:rPr>
          <w:color w:val="548DD4" w:themeColor="text2" w:themeTint="99"/>
        </w:rPr>
        <w:fldChar w:fldCharType="begin" w:fldLock="1"/>
      </w:r>
      <w:r w:rsidR="00771A31" w:rsidRPr="00213440">
        <w:rPr>
          <w:color w:val="548DD4" w:themeColor="text2" w:themeTint="99"/>
        </w:rPr>
        <w:instrText>ADDIN CSL_CITATION {"citationItems":[{"id":"ITEM-1","itemData":{"DOI":"10.1016/j.jclepro.2020.120394","ISSN":"09596526","author":[{"dropping-particle":"","family":"Zohrabi","given":"Saman","non-dropping-particle":"","parse-names":false,"suffix":""},{"dropping-particle":"","family":"Aghbashlo","given":"Mortaza","non-dropping-particle":"","parse-names":false,"suffix":""},{"dropping-particle":"","family":"Seiiedlou","given":"Seyed Sadegh","non-dropping-particle":"","parse-names":false,"suffix":""},{"dropping-particle":"","family":"Scaar","given":"Holger","non-dropping-particle":"","parse-names":false,"suffix":""},{"dropping-particle":"","family":"Mellmann","given":"Jochen","non-dropping-particle":"","parse-names":false,"suffix":""}],"container-title":"Journal of Cleaner Production","id":"ITEM-1","issued":{"date-parts":[["2020","6"]]},"page":"120394","title":"Energy saving in a convective dryer by using novel real-time exergy-based control schemes adjusting exhaust air recirculation","type":"article-journal","volume":"257"},"uris":["http://www.mendeley.com/documents/?uuid=f45dda38-36a5-4415-a1a1-5f9a590e10be"]},{"id":"ITEM-2","itemData":{"DOI":"10.1016/j.apenergy.2015.04.069","ISSN":"03062619","author":[{"dropping-particle":"","family":"Julklang","given":"Wittaya","non-dropping-particle":"","parse-names":false,"suffix":""},{"dropping-particle":"","family":"Golman","given":"Boris","non-dropping-particle":"","parse-names":false,"suffix":""}],"container-title":"Applied Energy","id":"ITEM-2","issued":{"date-parts":[["2015","8"]]},"page":"285-295","title":"Effect of process parameters on energy performance of spray drying with exhaust air heat recovery for production of high value particles","type":"article-journal","volume":"151"},"uris":["http://www.mendeley.com/documents/?uuid=d75b80e1-137b-4a82-8a17-723d5d2e1ee8"]}],"mendeley":{"formattedCitation":"[8], [10]","plainTextFormattedCitation":"[8], [10]","previouslyFormattedCitation":"[8], [10]"},"properties":{"noteIndex":0},"schema":"https://github.com/citation-style-language/schema/raw/master/csl-citation.json"}</w:instrText>
      </w:r>
      <w:r w:rsidR="00771A31" w:rsidRPr="00213440">
        <w:rPr>
          <w:color w:val="548DD4" w:themeColor="text2" w:themeTint="99"/>
        </w:rPr>
        <w:fldChar w:fldCharType="separate"/>
      </w:r>
      <w:r w:rsidR="00771A31" w:rsidRPr="00213440">
        <w:rPr>
          <w:noProof/>
          <w:color w:val="548DD4" w:themeColor="text2" w:themeTint="99"/>
        </w:rPr>
        <w:t>[8], [10]</w:t>
      </w:r>
      <w:r w:rsidR="00771A31" w:rsidRPr="00213440">
        <w:rPr>
          <w:color w:val="548DD4" w:themeColor="text2" w:themeTint="99"/>
        </w:rPr>
        <w:fldChar w:fldCharType="end"/>
      </w:r>
      <w:r w:rsidR="00400831" w:rsidRPr="00213440">
        <w:rPr>
          <w:color w:val="548DD4" w:themeColor="text2" w:themeTint="99"/>
        </w:rPr>
        <w:t xml:space="preserve">. </w:t>
      </w:r>
    </w:p>
    <w:p w14:paraId="3009DCE7" w14:textId="7BAB3BF4" w:rsidR="00141042" w:rsidRPr="00213440" w:rsidRDefault="00213440" w:rsidP="006101C8">
      <w:pPr>
        <w:rPr>
          <w:color w:val="548DD4" w:themeColor="text2" w:themeTint="99"/>
        </w:rPr>
      </w:pPr>
      <w:r w:rsidRPr="00213440">
        <w:rPr>
          <w:color w:val="548DD4" w:themeColor="text2" w:themeTint="99"/>
        </w:rPr>
        <w:t>In this study, the monitoring system based on IoT is used to monitor the thermal condition change during the drying process. The temperature and flow rate are logged on a real-time basis and then used to compute the energy using physical principles. The difference between the supplied energy and the theoretical energy re-quirements of the process can be found while the system is in opera-tion. This difference is an indicator for evaluation of thermal performance of industrial drying process. The future development of this system could be the automatic controls to adjust the temperature or hot water flow rate so that it can meet the changing energy demands during the drying process.</w:t>
      </w:r>
    </w:p>
    <w:p w14:paraId="056C5C7E" w14:textId="77777777" w:rsidR="00141042" w:rsidRPr="00914426" w:rsidRDefault="00141042" w:rsidP="00141042">
      <w:pPr>
        <w:pStyle w:val="heading1"/>
        <w:rPr>
          <w:color w:val="000000" w:themeColor="text1"/>
        </w:rPr>
      </w:pPr>
      <w:r w:rsidRPr="00914426">
        <w:rPr>
          <w:color w:val="000000" w:themeColor="text1"/>
        </w:rPr>
        <w:t>Conclusion</w:t>
      </w:r>
    </w:p>
    <w:p w14:paraId="21796D83" w14:textId="3E0EE086" w:rsidR="00400831" w:rsidRPr="00914426" w:rsidRDefault="00213440" w:rsidP="009930E4">
      <w:pPr>
        <w:pStyle w:val="Heading3"/>
        <w:rPr>
          <w:color w:val="000000" w:themeColor="text1"/>
        </w:rPr>
      </w:pPr>
      <w:r w:rsidRPr="00213440">
        <w:rPr>
          <w:color w:val="548DD4" w:themeColor="text2" w:themeTint="99"/>
        </w:rPr>
        <w:t>An IoT-based monitoring system was utilized to assess the thermal performance of an industrial drying process. The system continuously monitored oven temperature, relative humidity, hot water temperature, and water flow rate, and used these data to calculate thermal energy. During operation, the drying oven typically maintained the target temperature range of 75–80°C and sustained low relative humidity. The hot water circulation provided an average energy input of 151,291 kcal h⁻¹, while the theoretical energy required to heat the product and evaporate its moisture content was 115,920 kcal h⁻¹. The resulting difference of 35,371 kcal h⁻¹, representing approximately 23.4% of the supplied energy, should not be interpreted solely as heat loss, since the theoretical calculation considers only the energy necessary for heating the product and evaporating its moisture.</w:t>
      </w:r>
      <w:r w:rsidRPr="00213440">
        <w:rPr>
          <w:color w:val="548DD4" w:themeColor="text2" w:themeTint="99"/>
        </w:rPr>
        <w:t xml:space="preserve"> </w:t>
      </w:r>
      <w:r w:rsidR="00E818E7" w:rsidRPr="00914426">
        <w:rPr>
          <w:color w:val="000000" w:themeColor="text1"/>
        </w:rPr>
        <w:t>The remaining energy may also reflect other thermal loads within the drying system that were not separately measured in this study.</w:t>
      </w:r>
      <w:r w:rsidR="00400831" w:rsidRPr="00914426">
        <w:rPr>
          <w:color w:val="000000" w:themeColor="text1"/>
        </w:rPr>
        <w:t xml:space="preserve"> The developed framework provides a practical foundation for continuous thermal performance evaluation and supports data-driven adjustments of the thermal energy supply in industrial drying processes. </w:t>
      </w:r>
    </w:p>
    <w:p w14:paraId="3F34881A" w14:textId="77777777" w:rsidR="006033B1" w:rsidRPr="00914426" w:rsidRDefault="009B2539" w:rsidP="00606587">
      <w:pPr>
        <w:pStyle w:val="heading1"/>
        <w:numPr>
          <w:ilvl w:val="0"/>
          <w:numId w:val="0"/>
        </w:numPr>
        <w:ind w:left="567" w:hanging="567"/>
        <w:rPr>
          <w:color w:val="000000" w:themeColor="text1"/>
        </w:rPr>
      </w:pPr>
      <w:r w:rsidRPr="00914426">
        <w:rPr>
          <w:color w:val="000000" w:themeColor="text1"/>
        </w:rPr>
        <w:t>References</w:t>
      </w:r>
    </w:p>
    <w:p w14:paraId="1B1570FC" w14:textId="4BE36979" w:rsidR="00F61047" w:rsidRPr="00F61047" w:rsidRDefault="00535C91" w:rsidP="00F61047">
      <w:pPr>
        <w:widowControl w:val="0"/>
        <w:ind w:left="640" w:hanging="640"/>
        <w:rPr>
          <w:noProof/>
          <w:sz w:val="18"/>
        </w:rPr>
      </w:pPr>
      <w:r w:rsidRPr="00914426">
        <w:rPr>
          <w:color w:val="000000" w:themeColor="text1"/>
        </w:rPr>
        <w:fldChar w:fldCharType="begin" w:fldLock="1"/>
      </w:r>
      <w:r w:rsidRPr="00914426">
        <w:rPr>
          <w:color w:val="000000" w:themeColor="text1"/>
        </w:rPr>
        <w:instrText xml:space="preserve">ADDIN Mendeley Bibliography CSL_BIBLIOGRAPHY </w:instrText>
      </w:r>
      <w:r w:rsidRPr="00914426">
        <w:rPr>
          <w:color w:val="000000" w:themeColor="text1"/>
        </w:rPr>
        <w:fldChar w:fldCharType="separate"/>
      </w:r>
      <w:r w:rsidR="00F61047" w:rsidRPr="00F61047">
        <w:rPr>
          <w:noProof/>
          <w:sz w:val="18"/>
        </w:rPr>
        <w:t>[1]</w:t>
      </w:r>
      <w:r w:rsidR="00F61047" w:rsidRPr="00F61047">
        <w:rPr>
          <w:noProof/>
          <w:sz w:val="18"/>
        </w:rPr>
        <w:tab/>
        <w:t xml:space="preserve">M. Li, M. Liu, C. Xu, J. Wang, and J. Yan, “Thermodynamic and sensitivity analyses on drying subprocesses of various evaporative dryers: A comparative study,” </w:t>
      </w:r>
      <w:r w:rsidR="00F61047" w:rsidRPr="00F61047">
        <w:rPr>
          <w:i/>
          <w:iCs/>
          <w:noProof/>
          <w:sz w:val="18"/>
        </w:rPr>
        <w:t>Energy</w:t>
      </w:r>
      <w:r w:rsidR="00F61047" w:rsidRPr="00F61047">
        <w:rPr>
          <w:noProof/>
          <w:sz w:val="18"/>
        </w:rPr>
        <w:t>, vol. 284, p. 128571, Dec. 2023, doi: 10.1016/j.energy.2023.128571.</w:t>
      </w:r>
    </w:p>
    <w:p w14:paraId="209C42E6" w14:textId="77777777" w:rsidR="00F61047" w:rsidRPr="00F61047" w:rsidRDefault="00F61047" w:rsidP="00F61047">
      <w:pPr>
        <w:widowControl w:val="0"/>
        <w:ind w:left="640" w:hanging="640"/>
        <w:rPr>
          <w:noProof/>
          <w:sz w:val="18"/>
        </w:rPr>
      </w:pPr>
      <w:r w:rsidRPr="00F61047">
        <w:rPr>
          <w:noProof/>
          <w:sz w:val="18"/>
        </w:rPr>
        <w:t>[2]</w:t>
      </w:r>
      <w:r w:rsidRPr="00F61047">
        <w:rPr>
          <w:noProof/>
          <w:sz w:val="18"/>
        </w:rPr>
        <w:tab/>
        <w:t xml:space="preserve">M. H. T. Mondal and M. S. H. Sarker, “Comprehensive energy analysis and environmental sustainability of industrial grain drying,” </w:t>
      </w:r>
      <w:r w:rsidRPr="00F61047">
        <w:rPr>
          <w:i/>
          <w:iCs/>
          <w:noProof/>
          <w:sz w:val="18"/>
        </w:rPr>
        <w:t>Renew. Sustain. Energy Rev.</w:t>
      </w:r>
      <w:r w:rsidRPr="00F61047">
        <w:rPr>
          <w:noProof/>
          <w:sz w:val="18"/>
        </w:rPr>
        <w:t>, vol. 199, p. 114442, Jul. 2024, doi: 10.1016/j.rser.2024.114442.</w:t>
      </w:r>
    </w:p>
    <w:p w14:paraId="25BF32BF" w14:textId="77777777" w:rsidR="00F61047" w:rsidRPr="00F61047" w:rsidRDefault="00F61047" w:rsidP="00F61047">
      <w:pPr>
        <w:widowControl w:val="0"/>
        <w:ind w:left="640" w:hanging="640"/>
        <w:rPr>
          <w:noProof/>
          <w:sz w:val="18"/>
        </w:rPr>
      </w:pPr>
      <w:r w:rsidRPr="00F61047">
        <w:rPr>
          <w:noProof/>
          <w:sz w:val="18"/>
        </w:rPr>
        <w:t>[3]</w:t>
      </w:r>
      <w:r w:rsidRPr="00F61047">
        <w:rPr>
          <w:noProof/>
          <w:sz w:val="18"/>
        </w:rPr>
        <w:tab/>
        <w:t xml:space="preserve">H. J. Khasawneh </w:t>
      </w:r>
      <w:r w:rsidRPr="00F61047">
        <w:rPr>
          <w:i/>
          <w:iCs/>
          <w:noProof/>
          <w:sz w:val="18"/>
        </w:rPr>
        <w:t>et al.</w:t>
      </w:r>
      <w:r w:rsidRPr="00F61047">
        <w:rPr>
          <w:noProof/>
          <w:sz w:val="18"/>
        </w:rPr>
        <w:t xml:space="preserve">, “Industrial IoT-based submetering solution for real-time energy monitoring,” </w:t>
      </w:r>
      <w:r w:rsidRPr="00F61047">
        <w:rPr>
          <w:i/>
          <w:iCs/>
          <w:noProof/>
          <w:sz w:val="18"/>
        </w:rPr>
        <w:t>Discov. Internet Things</w:t>
      </w:r>
      <w:r w:rsidRPr="00F61047">
        <w:rPr>
          <w:noProof/>
          <w:sz w:val="18"/>
        </w:rPr>
        <w:t>, vol. 5, no. 1, p. 15, Feb. 2025, doi: 10.1007/s43926-025-00110-y.</w:t>
      </w:r>
    </w:p>
    <w:p w14:paraId="330A7DEA" w14:textId="77777777" w:rsidR="00F61047" w:rsidRPr="00F61047" w:rsidRDefault="00F61047" w:rsidP="00F61047">
      <w:pPr>
        <w:widowControl w:val="0"/>
        <w:ind w:left="640" w:hanging="640"/>
        <w:rPr>
          <w:noProof/>
          <w:sz w:val="18"/>
        </w:rPr>
      </w:pPr>
      <w:r w:rsidRPr="00F61047">
        <w:rPr>
          <w:noProof/>
          <w:sz w:val="18"/>
        </w:rPr>
        <w:t>[4]</w:t>
      </w:r>
      <w:r w:rsidRPr="00F61047">
        <w:rPr>
          <w:noProof/>
          <w:sz w:val="18"/>
        </w:rPr>
        <w:tab/>
        <w:t xml:space="preserve">M. D. Mudaliar and N. Sivakumar, “IoT based real time energy monitoring system using Raspberry Pi,” </w:t>
      </w:r>
      <w:r w:rsidRPr="00F61047">
        <w:rPr>
          <w:i/>
          <w:iCs/>
          <w:noProof/>
          <w:sz w:val="18"/>
        </w:rPr>
        <w:t>Internet of Things</w:t>
      </w:r>
      <w:r w:rsidRPr="00F61047">
        <w:rPr>
          <w:noProof/>
          <w:sz w:val="18"/>
        </w:rPr>
        <w:t>, vol. 12, p. 100292, Dec. 2020, doi: 10.1016/j.iot.2020.100292.</w:t>
      </w:r>
    </w:p>
    <w:p w14:paraId="348D3A26" w14:textId="77777777" w:rsidR="00F61047" w:rsidRPr="00F61047" w:rsidRDefault="00F61047" w:rsidP="00F61047">
      <w:pPr>
        <w:widowControl w:val="0"/>
        <w:ind w:left="640" w:hanging="640"/>
        <w:rPr>
          <w:noProof/>
          <w:sz w:val="18"/>
        </w:rPr>
      </w:pPr>
      <w:r w:rsidRPr="00F61047">
        <w:rPr>
          <w:noProof/>
          <w:sz w:val="18"/>
        </w:rPr>
        <w:t>[5]</w:t>
      </w:r>
      <w:r w:rsidRPr="00F61047">
        <w:rPr>
          <w:noProof/>
          <w:sz w:val="18"/>
        </w:rPr>
        <w:tab/>
        <w:t xml:space="preserve">S. Hanifi, B. Alkali, G. Lindsay, and D. McGlinchey, “Optimizing Energy and Air Consumption in Smart Manufacturing: An Industrial Internet of Things-Based Monitoring and Efficiency Enhancement Solution,” </w:t>
      </w:r>
      <w:r w:rsidRPr="00F61047">
        <w:rPr>
          <w:i/>
          <w:iCs/>
          <w:noProof/>
          <w:sz w:val="18"/>
        </w:rPr>
        <w:t>Appl. Sci.</w:t>
      </w:r>
      <w:r w:rsidRPr="00F61047">
        <w:rPr>
          <w:noProof/>
          <w:sz w:val="18"/>
        </w:rPr>
        <w:t>, vol. 15, no. 6, p. 3222, Mar. 2025, doi: 10.3390/app15063222.</w:t>
      </w:r>
    </w:p>
    <w:p w14:paraId="28FC89DD" w14:textId="77777777" w:rsidR="00F61047" w:rsidRPr="00F61047" w:rsidRDefault="00F61047" w:rsidP="00F61047">
      <w:pPr>
        <w:widowControl w:val="0"/>
        <w:ind w:left="640" w:hanging="640"/>
        <w:rPr>
          <w:noProof/>
          <w:sz w:val="18"/>
        </w:rPr>
      </w:pPr>
      <w:r w:rsidRPr="00F61047">
        <w:rPr>
          <w:noProof/>
          <w:sz w:val="18"/>
        </w:rPr>
        <w:t>[6]</w:t>
      </w:r>
      <w:r w:rsidRPr="00F61047">
        <w:rPr>
          <w:noProof/>
          <w:sz w:val="18"/>
        </w:rPr>
        <w:tab/>
        <w:t xml:space="preserve">S. G. Pease </w:t>
      </w:r>
      <w:r w:rsidRPr="00F61047">
        <w:rPr>
          <w:i/>
          <w:iCs/>
          <w:noProof/>
          <w:sz w:val="18"/>
        </w:rPr>
        <w:t>et al.</w:t>
      </w:r>
      <w:r w:rsidRPr="00F61047">
        <w:rPr>
          <w:noProof/>
          <w:sz w:val="18"/>
        </w:rPr>
        <w:t xml:space="preserve">, “An intelligent real-time cyber-physical toolset for energy and process prediction and optimisation in the future industrial Internet of Things,” </w:t>
      </w:r>
      <w:r w:rsidRPr="00F61047">
        <w:rPr>
          <w:i/>
          <w:iCs/>
          <w:noProof/>
          <w:sz w:val="18"/>
        </w:rPr>
        <w:t>Futur. Gener. Comput. Syst.</w:t>
      </w:r>
      <w:r w:rsidRPr="00F61047">
        <w:rPr>
          <w:noProof/>
          <w:sz w:val="18"/>
        </w:rPr>
        <w:t>, vol. 79, pp. 815–829, Feb. 2018, doi: 10.1016/j.future.2017.09.026.</w:t>
      </w:r>
    </w:p>
    <w:p w14:paraId="7B41B6C1" w14:textId="77777777" w:rsidR="00F61047" w:rsidRPr="00F61047" w:rsidRDefault="00F61047" w:rsidP="00F61047">
      <w:pPr>
        <w:widowControl w:val="0"/>
        <w:ind w:left="640" w:hanging="640"/>
        <w:rPr>
          <w:noProof/>
          <w:sz w:val="18"/>
        </w:rPr>
      </w:pPr>
      <w:r w:rsidRPr="00F61047">
        <w:rPr>
          <w:noProof/>
          <w:sz w:val="18"/>
        </w:rPr>
        <w:t>[7]</w:t>
      </w:r>
      <w:r w:rsidRPr="00F61047">
        <w:rPr>
          <w:noProof/>
          <w:sz w:val="18"/>
        </w:rPr>
        <w:tab/>
        <w:t xml:space="preserve">Y. Valdivia Nodal </w:t>
      </w:r>
      <w:r w:rsidRPr="00F61047">
        <w:rPr>
          <w:i/>
          <w:iCs/>
          <w:noProof/>
          <w:sz w:val="18"/>
        </w:rPr>
        <w:t>et al.</w:t>
      </w:r>
      <w:r w:rsidRPr="00F61047">
        <w:rPr>
          <w:noProof/>
          <w:sz w:val="18"/>
        </w:rPr>
        <w:t xml:space="preserve">, “Energetic analysis in a hot water system: A hotel facility case study,” </w:t>
      </w:r>
      <w:r w:rsidRPr="00F61047">
        <w:rPr>
          <w:i/>
          <w:iCs/>
          <w:noProof/>
          <w:sz w:val="18"/>
        </w:rPr>
        <w:t>J. Sustain. Dev. Energy, Water Environ. Syst.</w:t>
      </w:r>
      <w:r w:rsidRPr="00F61047">
        <w:rPr>
          <w:noProof/>
          <w:sz w:val="18"/>
        </w:rPr>
        <w:t>, vol. 11, no. 1, pp. 1–15, Mar. 2023, doi: 10.13044/j.sdewes.d10.0428.</w:t>
      </w:r>
    </w:p>
    <w:p w14:paraId="230CF14B" w14:textId="77777777" w:rsidR="00F61047" w:rsidRPr="00F61047" w:rsidRDefault="00F61047" w:rsidP="00F61047">
      <w:pPr>
        <w:widowControl w:val="0"/>
        <w:ind w:left="640" w:hanging="640"/>
        <w:rPr>
          <w:noProof/>
          <w:sz w:val="18"/>
        </w:rPr>
      </w:pPr>
      <w:r w:rsidRPr="00F61047">
        <w:rPr>
          <w:noProof/>
          <w:sz w:val="18"/>
        </w:rPr>
        <w:t>[8]</w:t>
      </w:r>
      <w:r w:rsidRPr="00F61047">
        <w:rPr>
          <w:noProof/>
          <w:sz w:val="18"/>
        </w:rPr>
        <w:tab/>
        <w:t xml:space="preserve">S. Zohrabi, M. Aghbashlo, S. S. Seiiedlou, H. Scaar, and J. Mellmann, “Energy saving in a convective dryer by using novel real-time exergy-based control schemes adjusting exhaust air recirculation,” </w:t>
      </w:r>
      <w:r w:rsidRPr="00F61047">
        <w:rPr>
          <w:i/>
          <w:iCs/>
          <w:noProof/>
          <w:sz w:val="18"/>
        </w:rPr>
        <w:t>J. Clean. Prod.</w:t>
      </w:r>
      <w:r w:rsidRPr="00F61047">
        <w:rPr>
          <w:noProof/>
          <w:sz w:val="18"/>
        </w:rPr>
        <w:t>, vol. 257, p. 120394, Jun. 2020, doi: 10.1016/j.jclepro.2020.120394.</w:t>
      </w:r>
    </w:p>
    <w:p w14:paraId="4291825E" w14:textId="77777777" w:rsidR="00F61047" w:rsidRPr="00F61047" w:rsidRDefault="00F61047" w:rsidP="00F61047">
      <w:pPr>
        <w:widowControl w:val="0"/>
        <w:ind w:left="640" w:hanging="640"/>
        <w:rPr>
          <w:noProof/>
          <w:sz w:val="18"/>
        </w:rPr>
      </w:pPr>
      <w:r w:rsidRPr="00F61047">
        <w:rPr>
          <w:noProof/>
          <w:sz w:val="18"/>
        </w:rPr>
        <w:t>[9]</w:t>
      </w:r>
      <w:r w:rsidRPr="00F61047">
        <w:rPr>
          <w:noProof/>
          <w:sz w:val="18"/>
        </w:rPr>
        <w:tab/>
        <w:t xml:space="preserve">S. Mukherjee, A. Asthana, M. Howarth, R. Mcneill, and B. Frisby, “Achieving Operational Excellence for Industrial Baking Ovens,” </w:t>
      </w:r>
      <w:r w:rsidRPr="00F61047">
        <w:rPr>
          <w:i/>
          <w:iCs/>
          <w:noProof/>
          <w:sz w:val="18"/>
        </w:rPr>
        <w:t>Energy Procedia</w:t>
      </w:r>
      <w:r w:rsidRPr="00F61047">
        <w:rPr>
          <w:noProof/>
          <w:sz w:val="18"/>
        </w:rPr>
        <w:t>, vol. 161, pp. 395–402, Mar. 2019, doi: 10.1016/j.egypro.2019.02.100.</w:t>
      </w:r>
    </w:p>
    <w:p w14:paraId="63432BDC" w14:textId="77777777" w:rsidR="00F61047" w:rsidRPr="00F61047" w:rsidRDefault="00F61047" w:rsidP="00F61047">
      <w:pPr>
        <w:widowControl w:val="0"/>
        <w:ind w:left="640" w:hanging="640"/>
        <w:rPr>
          <w:noProof/>
          <w:sz w:val="18"/>
        </w:rPr>
      </w:pPr>
      <w:r w:rsidRPr="00F61047">
        <w:rPr>
          <w:noProof/>
          <w:sz w:val="18"/>
        </w:rPr>
        <w:t>[10]</w:t>
      </w:r>
      <w:r w:rsidRPr="00F61047">
        <w:rPr>
          <w:noProof/>
          <w:sz w:val="18"/>
        </w:rPr>
        <w:tab/>
        <w:t xml:space="preserve">W. Julklang and B. Golman, “Effect of process parameters on energy performance of spray drying with exhaust air heat recovery for production of high value particles,” </w:t>
      </w:r>
      <w:r w:rsidRPr="00F61047">
        <w:rPr>
          <w:i/>
          <w:iCs/>
          <w:noProof/>
          <w:sz w:val="18"/>
        </w:rPr>
        <w:t>Appl. Energy</w:t>
      </w:r>
      <w:r w:rsidRPr="00F61047">
        <w:rPr>
          <w:noProof/>
          <w:sz w:val="18"/>
        </w:rPr>
        <w:t>, vol. 151, pp. 285–295, Aug. 2015, doi: 10.1016/j.apenergy.2015.04.069.</w:t>
      </w:r>
    </w:p>
    <w:p w14:paraId="7B8C19C7" w14:textId="22F67D5A" w:rsidR="006033B1" w:rsidRPr="00914426" w:rsidRDefault="00535C91" w:rsidP="00F61047">
      <w:pPr>
        <w:widowControl w:val="0"/>
        <w:ind w:left="640" w:hanging="640"/>
        <w:rPr>
          <w:color w:val="000000" w:themeColor="text1"/>
        </w:rPr>
      </w:pPr>
      <w:r w:rsidRPr="00914426">
        <w:rPr>
          <w:color w:val="000000" w:themeColor="text1"/>
        </w:rPr>
        <w:fldChar w:fldCharType="end"/>
      </w:r>
    </w:p>
    <w:sectPr w:rsidR="006033B1" w:rsidRPr="00914426" w:rsidSect="009F7FCE">
      <w:headerReference w:type="even" r:id="rId12"/>
      <w:headerReference w:type="default" r:id="rId13"/>
      <w:pgSz w:w="11906" w:h="16838" w:code="9"/>
      <w:pgMar w:top="2948" w:right="2494" w:bottom="2948" w:left="2494" w:header="2381" w:footer="2324" w:gutter="0"/>
      <w:cols w:space="227"/>
      <w:titlePg/>
      <w:docGrid w:linePitch="2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27807B" w14:textId="77777777" w:rsidR="00AD707C" w:rsidRDefault="00AD707C">
      <w:r>
        <w:separator/>
      </w:r>
    </w:p>
  </w:endnote>
  <w:endnote w:type="continuationSeparator" w:id="0">
    <w:p w14:paraId="7A5309A3" w14:textId="77777777" w:rsidR="00AD707C" w:rsidRDefault="00AD707C">
      <w:r>
        <w:continuationSeparator/>
      </w:r>
    </w:p>
  </w:endnote>
  <w:endnote w:type="continuationNotice" w:id="1">
    <w:p w14:paraId="16A8C512" w14:textId="77777777" w:rsidR="00BD70CB" w:rsidRDefault="00BD70C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w:altName w:val="Courier New"/>
    <w:panose1 w:val="00000000000000000000"/>
    <w:charset w:val="00"/>
    <w:family w:val="modern"/>
    <w:pitch w:val="fixed"/>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77A429" w14:textId="77777777" w:rsidR="00AD707C" w:rsidRDefault="00AD707C" w:rsidP="009F7FCE">
      <w:pPr>
        <w:ind w:firstLine="0"/>
      </w:pPr>
      <w:r>
        <w:separator/>
      </w:r>
    </w:p>
  </w:footnote>
  <w:footnote w:type="continuationSeparator" w:id="0">
    <w:p w14:paraId="58BF1665" w14:textId="77777777" w:rsidR="00AD707C" w:rsidRDefault="00AD707C" w:rsidP="009F7FCE">
      <w:pPr>
        <w:ind w:firstLine="0"/>
      </w:pPr>
      <w:r>
        <w:continuationSeparator/>
      </w:r>
    </w:p>
  </w:footnote>
  <w:footnote w:type="continuationNotice" w:id="1">
    <w:p w14:paraId="276AAC20" w14:textId="77777777" w:rsidR="00BD70CB" w:rsidRDefault="00BD70C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ECB6B" w14:textId="77777777" w:rsidR="009B2539" w:rsidRDefault="009B2539" w:rsidP="00F321B4">
    <w:pPr>
      <w:pStyle w:val="Header"/>
    </w:pPr>
    <w:r>
      <w:fldChar w:fldCharType="begin"/>
    </w:r>
    <w:r>
      <w:instrText>PAGE   \* MERGEFORMAT</w:instrText>
    </w:r>
    <w:r>
      <w:fldChar w:fldCharType="separate"/>
    </w:r>
    <w:r w:rsidR="00DC2CA9">
      <w:rPr>
        <w:noProof/>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52E16" w14:textId="77777777" w:rsidR="002D48C5" w:rsidRDefault="002D48C5" w:rsidP="002D48C5">
    <w:pPr>
      <w:pStyle w:val="Header"/>
      <w:jc w:val="right"/>
    </w:pPr>
    <w:r>
      <w:fldChar w:fldCharType="begin"/>
    </w:r>
    <w:r>
      <w:instrText>PAGE   \* MERGEFORMAT</w:instrText>
    </w:r>
    <w:r>
      <w:fldChar w:fldCharType="separate"/>
    </w:r>
    <w:r w:rsidR="001A02F0">
      <w:rPr>
        <w:noProof/>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397F84"/>
    <w:multiLevelType w:val="multilevel"/>
    <w:tmpl w:val="77162394"/>
    <w:styleLink w:val="itemization1"/>
    <w:lvl w:ilvl="0">
      <w:start w:val="1"/>
      <w:numFmt w:val="bullet"/>
      <w:pStyle w:val="bulletitem"/>
      <w:lvlText w:val=""/>
      <w:lvlJc w:val="left"/>
      <w:pPr>
        <w:tabs>
          <w:tab w:val="num" w:pos="227"/>
        </w:tabs>
        <w:ind w:left="227" w:hanging="227"/>
      </w:pPr>
      <w:rPr>
        <w:rFonts w:ascii="Symbol" w:hAnsi="Symbol" w:hint="default"/>
      </w:rPr>
    </w:lvl>
    <w:lvl w:ilvl="1">
      <w:start w:val="1"/>
      <w:numFmt w:val="bullet"/>
      <w:lvlText w:val="─"/>
      <w:lvlJc w:val="left"/>
      <w:pPr>
        <w:tabs>
          <w:tab w:val="num" w:pos="454"/>
        </w:tabs>
        <w:ind w:left="454" w:hanging="227"/>
      </w:pPr>
      <w:rPr>
        <w:rFonts w:ascii="Times New Roman" w:hAnsi="Times New Roman" w:cs="Times New Roman" w:hint="default"/>
      </w:rPr>
    </w:lvl>
    <w:lvl w:ilvl="2">
      <w:start w:val="1"/>
      <w:numFmt w:val="bullet"/>
      <w:lvlText w:val="o"/>
      <w:lvlJc w:val="left"/>
      <w:pPr>
        <w:tabs>
          <w:tab w:val="num" w:pos="680"/>
        </w:tabs>
        <w:ind w:left="680" w:hanging="226"/>
      </w:pPr>
      <w:rPr>
        <w:rFonts w:ascii="Courier New" w:hAnsi="Courier New" w:hint="default"/>
      </w:rPr>
    </w:lvl>
    <w:lvl w:ilvl="3">
      <w:start w:val="1"/>
      <w:numFmt w:val="bullet"/>
      <w:lvlText w:val=""/>
      <w:lvlJc w:val="left"/>
      <w:pPr>
        <w:tabs>
          <w:tab w:val="num" w:pos="907"/>
        </w:tabs>
        <w:ind w:left="907" w:hanging="227"/>
      </w:pPr>
      <w:rPr>
        <w:rFonts w:ascii="Wingdings" w:hAnsi="Wingdings" w:hint="default"/>
      </w:rPr>
    </w:lvl>
    <w:lvl w:ilvl="4">
      <w:start w:val="1"/>
      <w:numFmt w:val="bullet"/>
      <w:lvlText w:val="o"/>
      <w:lvlJc w:val="left"/>
      <w:pPr>
        <w:tabs>
          <w:tab w:val="num" w:pos="1134"/>
        </w:tabs>
        <w:ind w:left="1134" w:hanging="227"/>
      </w:pPr>
      <w:rPr>
        <w:rFonts w:ascii="Courier New" w:hAnsi="Courier New" w:hint="default"/>
      </w:rPr>
    </w:lvl>
    <w:lvl w:ilvl="5">
      <w:start w:val="1"/>
      <w:numFmt w:val="bullet"/>
      <w:lvlText w:val=""/>
      <w:lvlJc w:val="left"/>
      <w:pPr>
        <w:tabs>
          <w:tab w:val="num" w:pos="1361"/>
        </w:tabs>
        <w:ind w:left="1361" w:hanging="227"/>
      </w:pPr>
      <w:rPr>
        <w:rFonts w:ascii="Wingdings" w:hAnsi="Wingdings" w:hint="default"/>
      </w:rPr>
    </w:lvl>
    <w:lvl w:ilvl="6">
      <w:start w:val="1"/>
      <w:numFmt w:val="bullet"/>
      <w:lvlText w:val=""/>
      <w:lvlJc w:val="left"/>
      <w:pPr>
        <w:tabs>
          <w:tab w:val="num" w:pos="1588"/>
        </w:tabs>
        <w:ind w:left="1588" w:hanging="227"/>
      </w:pPr>
      <w:rPr>
        <w:rFonts w:ascii="Symbol" w:hAnsi="Symbol" w:hint="default"/>
      </w:rPr>
    </w:lvl>
    <w:lvl w:ilvl="7">
      <w:start w:val="1"/>
      <w:numFmt w:val="bullet"/>
      <w:lvlText w:val="o"/>
      <w:lvlJc w:val="left"/>
      <w:pPr>
        <w:tabs>
          <w:tab w:val="num" w:pos="1814"/>
        </w:tabs>
        <w:ind w:left="1814" w:hanging="226"/>
      </w:pPr>
      <w:rPr>
        <w:rFonts w:ascii="Courier New" w:hAnsi="Courier New" w:hint="default"/>
      </w:rPr>
    </w:lvl>
    <w:lvl w:ilvl="8">
      <w:start w:val="1"/>
      <w:numFmt w:val="bullet"/>
      <w:lvlText w:val=""/>
      <w:lvlJc w:val="left"/>
      <w:pPr>
        <w:tabs>
          <w:tab w:val="num" w:pos="2041"/>
        </w:tabs>
        <w:ind w:left="2041" w:hanging="227"/>
      </w:pPr>
      <w:rPr>
        <w:rFonts w:ascii="Wingdings" w:hAnsi="Wingdings" w:hint="default"/>
      </w:rPr>
    </w:lvl>
  </w:abstractNum>
  <w:abstractNum w:abstractNumId="1" w15:restartNumberingAfterBreak="0">
    <w:nsid w:val="6F404C9F"/>
    <w:multiLevelType w:val="multilevel"/>
    <w:tmpl w:val="BEDA5F46"/>
    <w:styleLink w:val="itemization2"/>
    <w:lvl w:ilvl="0">
      <w:start w:val="1"/>
      <w:numFmt w:val="bullet"/>
      <w:pStyle w:val="dashitem"/>
      <w:lvlText w:val="─"/>
      <w:lvlJc w:val="left"/>
      <w:pPr>
        <w:tabs>
          <w:tab w:val="num" w:pos="227"/>
        </w:tabs>
        <w:ind w:left="227" w:hanging="227"/>
      </w:pPr>
      <w:rPr>
        <w:rFonts w:ascii="Times New Roman" w:hAnsi="Times New Roman" w:cs="Times New Roman" w:hint="default"/>
      </w:rPr>
    </w:lvl>
    <w:lvl w:ilvl="1">
      <w:start w:val="1"/>
      <w:numFmt w:val="bullet"/>
      <w:lvlText w:val=""/>
      <w:lvlJc w:val="left"/>
      <w:pPr>
        <w:tabs>
          <w:tab w:val="num" w:pos="454"/>
        </w:tabs>
        <w:ind w:left="454" w:hanging="227"/>
      </w:pPr>
      <w:rPr>
        <w:rFonts w:ascii="Symbol" w:hAnsi="Symbol" w:hint="default"/>
      </w:rPr>
    </w:lvl>
    <w:lvl w:ilvl="2">
      <w:start w:val="1"/>
      <w:numFmt w:val="bullet"/>
      <w:lvlText w:val="○"/>
      <w:lvlJc w:val="left"/>
      <w:pPr>
        <w:tabs>
          <w:tab w:val="num" w:pos="680"/>
        </w:tabs>
        <w:ind w:left="680" w:hanging="226"/>
      </w:pPr>
      <w:rPr>
        <w:rFonts w:ascii="Times New Roman" w:hAnsi="Times New Roman" w:cs="Times New Roman" w:hint="default"/>
      </w:rPr>
    </w:lvl>
    <w:lvl w:ilvl="3">
      <w:start w:val="1"/>
      <w:numFmt w:val="bullet"/>
      <w:lvlText w:val="■"/>
      <w:lvlJc w:val="left"/>
      <w:pPr>
        <w:tabs>
          <w:tab w:val="num" w:pos="907"/>
        </w:tabs>
        <w:ind w:left="907" w:hanging="227"/>
      </w:pPr>
      <w:rPr>
        <w:rFonts w:ascii="Times New Roman" w:hAnsi="Times New Roman" w:cs="Times New Roman" w:hint="default"/>
      </w:rPr>
    </w:lvl>
    <w:lvl w:ilvl="4">
      <w:start w:val="1"/>
      <w:numFmt w:val="bullet"/>
      <w:lvlText w:val="○"/>
      <w:lvlJc w:val="left"/>
      <w:pPr>
        <w:tabs>
          <w:tab w:val="num" w:pos="1134"/>
        </w:tabs>
        <w:ind w:left="1134" w:hanging="227"/>
      </w:pPr>
      <w:rPr>
        <w:rFonts w:ascii="Times New Roman" w:hAnsi="Times New Roman" w:cs="Times New Roman" w:hint="default"/>
      </w:rPr>
    </w:lvl>
    <w:lvl w:ilvl="5">
      <w:start w:val="1"/>
      <w:numFmt w:val="bullet"/>
      <w:lvlText w:val="■"/>
      <w:lvlJc w:val="left"/>
      <w:pPr>
        <w:tabs>
          <w:tab w:val="num" w:pos="1361"/>
        </w:tabs>
        <w:ind w:left="1361" w:hanging="227"/>
      </w:pPr>
      <w:rPr>
        <w:rFonts w:ascii="Times New Roman" w:hAnsi="Times New Roman" w:cs="Times New Roman" w:hint="default"/>
      </w:rPr>
    </w:lvl>
    <w:lvl w:ilvl="6">
      <w:start w:val="1"/>
      <w:numFmt w:val="bullet"/>
      <w:lvlText w:val=""/>
      <w:lvlJc w:val="left"/>
      <w:pPr>
        <w:tabs>
          <w:tab w:val="num" w:pos="1588"/>
        </w:tabs>
        <w:ind w:left="1588" w:hanging="227"/>
      </w:pPr>
      <w:rPr>
        <w:rFonts w:ascii="Symbol" w:hAnsi="Symbol" w:hint="default"/>
      </w:rPr>
    </w:lvl>
    <w:lvl w:ilvl="7">
      <w:start w:val="1"/>
      <w:numFmt w:val="bullet"/>
      <w:lvlText w:val="○"/>
      <w:lvlJc w:val="left"/>
      <w:pPr>
        <w:tabs>
          <w:tab w:val="num" w:pos="1814"/>
        </w:tabs>
        <w:ind w:left="1814" w:hanging="226"/>
      </w:pPr>
      <w:rPr>
        <w:rFonts w:ascii="Times New Roman" w:hAnsi="Times New Roman" w:cs="Times New Roman" w:hint="default"/>
      </w:rPr>
    </w:lvl>
    <w:lvl w:ilvl="8">
      <w:start w:val="1"/>
      <w:numFmt w:val="bullet"/>
      <w:lvlText w:val="■"/>
      <w:lvlJc w:val="left"/>
      <w:pPr>
        <w:tabs>
          <w:tab w:val="num" w:pos="2041"/>
        </w:tabs>
        <w:ind w:left="2041" w:hanging="227"/>
      </w:pPr>
      <w:rPr>
        <w:rFonts w:ascii="Times New Roman" w:hAnsi="Times New Roman" w:cs="Times New Roman" w:hint="default"/>
      </w:rPr>
    </w:lvl>
  </w:abstractNum>
  <w:abstractNum w:abstractNumId="2" w15:restartNumberingAfterBreak="0">
    <w:nsid w:val="7738779A"/>
    <w:multiLevelType w:val="multilevel"/>
    <w:tmpl w:val="77EC1FB2"/>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964"/>
        </w:tabs>
        <w:ind w:left="964" w:hanging="964"/>
      </w:pPr>
      <w:rPr>
        <w:rFonts w:ascii="Times New Roman" w:hAnsi="Times New Roman" w:hint="default"/>
        <w:b w:val="0"/>
        <w:i/>
        <w:sz w:val="20"/>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7B274BC8"/>
    <w:multiLevelType w:val="multilevel"/>
    <w:tmpl w:val="72E65396"/>
    <w:styleLink w:val="arabnumitem"/>
    <w:lvl w:ilvl="0">
      <w:start w:val="1"/>
      <w:numFmt w:val="decimal"/>
      <w:lvlRestart w:val="0"/>
      <w:pStyle w:val="numitem"/>
      <w:lvlText w:val="%1."/>
      <w:lvlJc w:val="right"/>
      <w:pPr>
        <w:tabs>
          <w:tab w:val="num" w:pos="0"/>
        </w:tabs>
        <w:ind w:left="227" w:hanging="57"/>
      </w:pPr>
      <w:rPr>
        <w:rFonts w:hint="default"/>
      </w:rPr>
    </w:lvl>
    <w:lvl w:ilvl="1">
      <w:start w:val="1"/>
      <w:numFmt w:val="lowerLetter"/>
      <w:lvlText w:val="%2."/>
      <w:lvlJc w:val="left"/>
      <w:pPr>
        <w:tabs>
          <w:tab w:val="num" w:pos="227"/>
        </w:tabs>
        <w:ind w:left="454" w:hanging="227"/>
      </w:pPr>
      <w:rPr>
        <w:rFonts w:hint="default"/>
      </w:rPr>
    </w:lvl>
    <w:lvl w:ilvl="2">
      <w:start w:val="1"/>
      <w:numFmt w:val="decimal"/>
      <w:lvlText w:val="(%3)"/>
      <w:lvlJc w:val="left"/>
      <w:pPr>
        <w:tabs>
          <w:tab w:val="num" w:pos="454"/>
        </w:tabs>
        <w:ind w:left="794" w:hanging="340"/>
      </w:pPr>
      <w:rPr>
        <w:rFonts w:hint="default"/>
      </w:rPr>
    </w:lvl>
    <w:lvl w:ilvl="3">
      <w:start w:val="1"/>
      <w:numFmt w:val="lowerRoman"/>
      <w:lvlText w:val="%4."/>
      <w:lvlJc w:val="left"/>
      <w:pPr>
        <w:tabs>
          <w:tab w:val="num" w:pos="794"/>
        </w:tabs>
        <w:ind w:left="1077" w:hanging="283"/>
      </w:pPr>
      <w:rPr>
        <w:rFonts w:hint="default"/>
      </w:rPr>
    </w:lvl>
    <w:lvl w:ilvl="4">
      <w:start w:val="1"/>
      <w:numFmt w:val="lowerLetter"/>
      <w:lvlText w:val="(%5)"/>
      <w:lvlJc w:val="left"/>
      <w:pPr>
        <w:tabs>
          <w:tab w:val="num" w:pos="1077"/>
        </w:tabs>
        <w:ind w:left="1360" w:hanging="283"/>
      </w:pPr>
      <w:rPr>
        <w:rFonts w:hint="default"/>
      </w:rPr>
    </w:lvl>
    <w:lvl w:ilvl="5">
      <w:start w:val="1"/>
      <w:numFmt w:val="upperLetter"/>
      <w:lvlText w:val="%6."/>
      <w:lvlJc w:val="left"/>
      <w:pPr>
        <w:tabs>
          <w:tab w:val="num" w:pos="1360"/>
        </w:tabs>
        <w:ind w:left="1700" w:hanging="340"/>
      </w:pPr>
      <w:rPr>
        <w:rFonts w:hint="default"/>
      </w:rPr>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D9521C8"/>
    <w:multiLevelType w:val="multilevel"/>
    <w:tmpl w:val="F35CB8F2"/>
    <w:styleLink w:val="referencelist"/>
    <w:lvl w:ilvl="0">
      <w:start w:val="1"/>
      <w:numFmt w:val="decimal"/>
      <w:pStyle w:val="referenceitem"/>
      <w:lvlText w:val="%1."/>
      <w:lvlJc w:val="right"/>
      <w:pPr>
        <w:tabs>
          <w:tab w:val="num" w:pos="341"/>
        </w:tabs>
        <w:ind w:left="341" w:hanging="114"/>
      </w:pPr>
      <w:rPr>
        <w:rFonts w:hint="default"/>
      </w:rPr>
    </w:lvl>
    <w:lvl w:ilvl="1">
      <w:start w:val="1"/>
      <w:numFmt w:val="lowerLetter"/>
      <w:lvlText w:val="%2."/>
      <w:lvlJc w:val="left"/>
      <w:pPr>
        <w:tabs>
          <w:tab w:val="num" w:pos="1896"/>
        </w:tabs>
        <w:ind w:left="1896" w:hanging="360"/>
      </w:pPr>
      <w:rPr>
        <w:rFonts w:hint="default"/>
      </w:rPr>
    </w:lvl>
    <w:lvl w:ilvl="2">
      <w:start w:val="1"/>
      <w:numFmt w:val="lowerRoman"/>
      <w:lvlText w:val="%3."/>
      <w:lvlJc w:val="right"/>
      <w:pPr>
        <w:tabs>
          <w:tab w:val="num" w:pos="2616"/>
        </w:tabs>
        <w:ind w:left="2616" w:hanging="180"/>
      </w:pPr>
      <w:rPr>
        <w:rFonts w:hint="default"/>
      </w:rPr>
    </w:lvl>
    <w:lvl w:ilvl="3">
      <w:start w:val="1"/>
      <w:numFmt w:val="decimal"/>
      <w:lvlText w:val="%4."/>
      <w:lvlJc w:val="left"/>
      <w:pPr>
        <w:tabs>
          <w:tab w:val="num" w:pos="3336"/>
        </w:tabs>
        <w:ind w:left="3336" w:hanging="360"/>
      </w:pPr>
      <w:rPr>
        <w:rFonts w:hint="default"/>
      </w:rPr>
    </w:lvl>
    <w:lvl w:ilvl="4">
      <w:start w:val="1"/>
      <w:numFmt w:val="lowerLetter"/>
      <w:lvlText w:val="%5."/>
      <w:lvlJc w:val="left"/>
      <w:pPr>
        <w:tabs>
          <w:tab w:val="num" w:pos="4056"/>
        </w:tabs>
        <w:ind w:left="4056" w:hanging="360"/>
      </w:pPr>
      <w:rPr>
        <w:rFonts w:hint="default"/>
      </w:rPr>
    </w:lvl>
    <w:lvl w:ilvl="5">
      <w:start w:val="1"/>
      <w:numFmt w:val="lowerRoman"/>
      <w:lvlText w:val="%6."/>
      <w:lvlJc w:val="right"/>
      <w:pPr>
        <w:tabs>
          <w:tab w:val="num" w:pos="4776"/>
        </w:tabs>
        <w:ind w:left="4776" w:hanging="180"/>
      </w:pPr>
      <w:rPr>
        <w:rFonts w:hint="default"/>
      </w:rPr>
    </w:lvl>
    <w:lvl w:ilvl="6">
      <w:start w:val="1"/>
      <w:numFmt w:val="decimal"/>
      <w:lvlText w:val="%7."/>
      <w:lvlJc w:val="left"/>
      <w:pPr>
        <w:tabs>
          <w:tab w:val="num" w:pos="5496"/>
        </w:tabs>
        <w:ind w:left="5496" w:hanging="360"/>
      </w:pPr>
      <w:rPr>
        <w:rFonts w:hint="default"/>
      </w:rPr>
    </w:lvl>
    <w:lvl w:ilvl="7">
      <w:start w:val="1"/>
      <w:numFmt w:val="lowerLetter"/>
      <w:lvlText w:val="%8."/>
      <w:lvlJc w:val="left"/>
      <w:pPr>
        <w:tabs>
          <w:tab w:val="num" w:pos="6216"/>
        </w:tabs>
        <w:ind w:left="6216" w:hanging="360"/>
      </w:pPr>
      <w:rPr>
        <w:rFonts w:hint="default"/>
      </w:rPr>
    </w:lvl>
    <w:lvl w:ilvl="8">
      <w:start w:val="1"/>
      <w:numFmt w:val="lowerRoman"/>
      <w:lvlText w:val="%9."/>
      <w:lvlJc w:val="right"/>
      <w:pPr>
        <w:tabs>
          <w:tab w:val="num" w:pos="6936"/>
        </w:tabs>
        <w:ind w:left="6936" w:hanging="180"/>
      </w:pPr>
      <w:rPr>
        <w:rFonts w:hint="default"/>
      </w:rPr>
    </w:lvl>
  </w:abstractNum>
  <w:num w:numId="1" w16cid:durableId="1837332748">
    <w:abstractNumId w:val="0"/>
  </w:num>
  <w:num w:numId="2" w16cid:durableId="947158360">
    <w:abstractNumId w:val="0"/>
  </w:num>
  <w:num w:numId="3" w16cid:durableId="400057762">
    <w:abstractNumId w:val="1"/>
  </w:num>
  <w:num w:numId="4" w16cid:durableId="102655290">
    <w:abstractNumId w:val="1"/>
  </w:num>
  <w:num w:numId="5" w16cid:durableId="2064593633">
    <w:abstractNumId w:val="3"/>
  </w:num>
  <w:num w:numId="6" w16cid:durableId="1155026272">
    <w:abstractNumId w:val="3"/>
  </w:num>
  <w:num w:numId="7" w16cid:durableId="127284203">
    <w:abstractNumId w:val="2"/>
  </w:num>
  <w:num w:numId="8" w16cid:durableId="354385905">
    <w:abstractNumId w:val="4"/>
  </w:num>
  <w:num w:numId="9" w16cid:durableId="519977761">
    <w:abstractNumId w:val="4"/>
  </w:num>
  <w:num w:numId="10" w16cid:durableId="1762872133">
    <w:abstractNumId w:val="2"/>
  </w:num>
  <w:num w:numId="11" w16cid:durableId="282199832">
    <w:abstractNumId w:val="2"/>
  </w:num>
  <w:num w:numId="12" w16cid:durableId="1079980300">
    <w:abstractNumId w:val="2"/>
  </w:num>
  <w:num w:numId="13" w16cid:durableId="1480608715">
    <w:abstractNumId w:val="2"/>
  </w:num>
  <w:num w:numId="14" w16cid:durableId="1697851122">
    <w:abstractNumId w:val="2"/>
  </w:num>
  <w:num w:numId="15" w16cid:durableId="1898053824">
    <w:abstractNumId w:val="2"/>
  </w:num>
  <w:num w:numId="16" w16cid:durableId="1723409177">
    <w:abstractNumId w:val="2"/>
  </w:num>
  <w:num w:numId="17" w16cid:durableId="1811827295">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3"/>
  <w:proofState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227"/>
  <w:autoHyphenation/>
  <w:hyphenationZone w:val="400"/>
  <w:doNotHyphenateCaps/>
  <w:evenAndOddHeaders/>
  <w:noPunctuationKerning/>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1C8"/>
    <w:rsid w:val="00071559"/>
    <w:rsid w:val="00072220"/>
    <w:rsid w:val="00085957"/>
    <w:rsid w:val="00097491"/>
    <w:rsid w:val="000A78AC"/>
    <w:rsid w:val="000C13E0"/>
    <w:rsid w:val="00122005"/>
    <w:rsid w:val="00127E11"/>
    <w:rsid w:val="00131C76"/>
    <w:rsid w:val="00141042"/>
    <w:rsid w:val="0015640F"/>
    <w:rsid w:val="001711D9"/>
    <w:rsid w:val="001941BB"/>
    <w:rsid w:val="001A02F0"/>
    <w:rsid w:val="0020121D"/>
    <w:rsid w:val="00213440"/>
    <w:rsid w:val="002429F5"/>
    <w:rsid w:val="00263475"/>
    <w:rsid w:val="0026524A"/>
    <w:rsid w:val="0028730A"/>
    <w:rsid w:val="002A722D"/>
    <w:rsid w:val="002D48C5"/>
    <w:rsid w:val="002E3C60"/>
    <w:rsid w:val="002F20B5"/>
    <w:rsid w:val="00306EFA"/>
    <w:rsid w:val="003202ED"/>
    <w:rsid w:val="00333069"/>
    <w:rsid w:val="00345FAD"/>
    <w:rsid w:val="00387EEB"/>
    <w:rsid w:val="003A54C3"/>
    <w:rsid w:val="003C13C8"/>
    <w:rsid w:val="003D1599"/>
    <w:rsid w:val="003F0905"/>
    <w:rsid w:val="003F6CFD"/>
    <w:rsid w:val="00400831"/>
    <w:rsid w:val="004051E7"/>
    <w:rsid w:val="00425134"/>
    <w:rsid w:val="00451D8E"/>
    <w:rsid w:val="004946B2"/>
    <w:rsid w:val="004D43B8"/>
    <w:rsid w:val="004F4C66"/>
    <w:rsid w:val="00514E00"/>
    <w:rsid w:val="005166B5"/>
    <w:rsid w:val="00525E54"/>
    <w:rsid w:val="00535C91"/>
    <w:rsid w:val="005E7772"/>
    <w:rsid w:val="006033B1"/>
    <w:rsid w:val="006101C8"/>
    <w:rsid w:val="00642E40"/>
    <w:rsid w:val="006C2584"/>
    <w:rsid w:val="006D49AA"/>
    <w:rsid w:val="006E572D"/>
    <w:rsid w:val="006F76A3"/>
    <w:rsid w:val="007612EB"/>
    <w:rsid w:val="007709E1"/>
    <w:rsid w:val="00771A31"/>
    <w:rsid w:val="0077638A"/>
    <w:rsid w:val="007B3EDF"/>
    <w:rsid w:val="008155F9"/>
    <w:rsid w:val="00842051"/>
    <w:rsid w:val="00846783"/>
    <w:rsid w:val="00866BE4"/>
    <w:rsid w:val="00867C02"/>
    <w:rsid w:val="00871637"/>
    <w:rsid w:val="008A3461"/>
    <w:rsid w:val="008A710E"/>
    <w:rsid w:val="008B14E7"/>
    <w:rsid w:val="008B51A1"/>
    <w:rsid w:val="008C0F2A"/>
    <w:rsid w:val="008C5904"/>
    <w:rsid w:val="008F2D4C"/>
    <w:rsid w:val="00914426"/>
    <w:rsid w:val="0091552D"/>
    <w:rsid w:val="009272A6"/>
    <w:rsid w:val="009768EA"/>
    <w:rsid w:val="009930E4"/>
    <w:rsid w:val="009B2539"/>
    <w:rsid w:val="009F7FCE"/>
    <w:rsid w:val="00A02644"/>
    <w:rsid w:val="00A0492F"/>
    <w:rsid w:val="00A66CCE"/>
    <w:rsid w:val="00A7293A"/>
    <w:rsid w:val="00AA2D8D"/>
    <w:rsid w:val="00AB0DF5"/>
    <w:rsid w:val="00AD707C"/>
    <w:rsid w:val="00AF2876"/>
    <w:rsid w:val="00B020F9"/>
    <w:rsid w:val="00B23481"/>
    <w:rsid w:val="00B42899"/>
    <w:rsid w:val="00B42A88"/>
    <w:rsid w:val="00B6709D"/>
    <w:rsid w:val="00B708C7"/>
    <w:rsid w:val="00B7188E"/>
    <w:rsid w:val="00BA2DDE"/>
    <w:rsid w:val="00BC27ED"/>
    <w:rsid w:val="00BD0F6E"/>
    <w:rsid w:val="00BD70CB"/>
    <w:rsid w:val="00C00F9C"/>
    <w:rsid w:val="00C24B83"/>
    <w:rsid w:val="00C65B63"/>
    <w:rsid w:val="00C6612A"/>
    <w:rsid w:val="00C6668A"/>
    <w:rsid w:val="00CA29B7"/>
    <w:rsid w:val="00D20C42"/>
    <w:rsid w:val="00D55B98"/>
    <w:rsid w:val="00D748AA"/>
    <w:rsid w:val="00D97F96"/>
    <w:rsid w:val="00DB51EC"/>
    <w:rsid w:val="00DC2CA9"/>
    <w:rsid w:val="00DF5AFE"/>
    <w:rsid w:val="00E00EA1"/>
    <w:rsid w:val="00E27592"/>
    <w:rsid w:val="00E603C7"/>
    <w:rsid w:val="00E70AE6"/>
    <w:rsid w:val="00E70D49"/>
    <w:rsid w:val="00E818E7"/>
    <w:rsid w:val="00EE2028"/>
    <w:rsid w:val="00EE3665"/>
    <w:rsid w:val="00EF4685"/>
    <w:rsid w:val="00EF6995"/>
    <w:rsid w:val="00F01340"/>
    <w:rsid w:val="00F2716E"/>
    <w:rsid w:val="00F321B4"/>
    <w:rsid w:val="00F60DDF"/>
    <w:rsid w:val="00F61047"/>
    <w:rsid w:val="00FA3B6D"/>
    <w:rsid w:val="00FD25F3"/>
    <w:rsid w:val="00FF647D"/>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341D3E46"/>
  <w15:docId w15:val="{7C1662CA-302D-41A7-84B4-1E5623D98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pPr>
        <w:spacing w:line="240" w:lineRule="atLeast"/>
      </w:pPr>
    </w:pPrDefault>
  </w:docDefaults>
  <w:latentStyles w:defLockedState="0" w:defUIPriority="0" w:defSemiHidden="0" w:defUnhideWhenUsed="0" w:defQFormat="0" w:count="376">
    <w:lsdException w:name="Normal" w:qFormat="1"/>
    <w:lsdException w:name="heading 1" w:semiHidden="1"/>
    <w:lsdException w:name="heading 2" w:semiHidden="1"/>
    <w:lsdException w:name="heading 3" w:semiHidden="1"/>
    <w:lsdException w:name="heading 4" w:semiHidden="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uiPriority="20" w:qFormat="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E7667"/>
    <w:pPr>
      <w:overflowPunct w:val="0"/>
      <w:autoSpaceDE w:val="0"/>
      <w:autoSpaceDN w:val="0"/>
      <w:adjustRightInd w:val="0"/>
      <w:ind w:firstLine="227"/>
      <w:jc w:val="both"/>
      <w:textAlignment w:val="baseline"/>
    </w:pPr>
  </w:style>
  <w:style w:type="paragraph" w:styleId="Heading10">
    <w:name w:val="heading 1"/>
    <w:basedOn w:val="Normal"/>
    <w:next w:val="p1a"/>
    <w:semiHidden/>
    <w:unhideWhenUsed/>
    <w:qFormat/>
    <w:pPr>
      <w:keepNext/>
      <w:keepLines/>
      <w:suppressAutoHyphens/>
      <w:spacing w:before="360" w:after="240" w:line="300" w:lineRule="atLeast"/>
      <w:ind w:left="567" w:hanging="567"/>
      <w:jc w:val="left"/>
      <w:outlineLvl w:val="0"/>
    </w:pPr>
    <w:rPr>
      <w:b/>
      <w:sz w:val="24"/>
    </w:rPr>
  </w:style>
  <w:style w:type="paragraph" w:styleId="Heading20">
    <w:name w:val="heading 2"/>
    <w:basedOn w:val="Normal"/>
    <w:next w:val="p1a"/>
    <w:semiHidden/>
    <w:unhideWhenUsed/>
    <w:qFormat/>
    <w:pPr>
      <w:keepNext/>
      <w:keepLines/>
      <w:suppressAutoHyphens/>
      <w:spacing w:before="360" w:after="160"/>
      <w:ind w:left="567" w:hanging="567"/>
      <w:jc w:val="left"/>
      <w:outlineLvl w:val="1"/>
    </w:pPr>
    <w:rPr>
      <w:b/>
    </w:rPr>
  </w:style>
  <w:style w:type="paragraph" w:styleId="Heading3">
    <w:name w:val="heading 3"/>
    <w:basedOn w:val="Normal"/>
    <w:next w:val="Normal"/>
    <w:qFormat/>
    <w:pPr>
      <w:spacing w:before="360"/>
      <w:ind w:firstLine="0"/>
      <w:outlineLvl w:val="2"/>
    </w:pPr>
  </w:style>
  <w:style w:type="paragraph" w:styleId="Heading4">
    <w:name w:val="heading 4"/>
    <w:basedOn w:val="Normal"/>
    <w:next w:val="Normal"/>
    <w:qFormat/>
    <w:pPr>
      <w:spacing w:before="240"/>
      <w:ind w:firstLine="0"/>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pPr>
      <w:spacing w:before="600" w:after="360" w:line="220" w:lineRule="atLeast"/>
      <w:ind w:left="567" w:right="567"/>
      <w:contextualSpacing/>
    </w:pPr>
    <w:rPr>
      <w:sz w:val="18"/>
    </w:rPr>
  </w:style>
  <w:style w:type="paragraph" w:customStyle="1" w:styleId="address">
    <w:name w:val="address"/>
    <w:basedOn w:val="Normal"/>
    <w:pPr>
      <w:spacing w:after="200" w:line="220" w:lineRule="atLeast"/>
      <w:ind w:firstLine="0"/>
      <w:contextualSpacing/>
      <w:jc w:val="center"/>
    </w:pPr>
    <w:rPr>
      <w:sz w:val="18"/>
    </w:rPr>
  </w:style>
  <w:style w:type="numbering" w:customStyle="1" w:styleId="arabnumitem">
    <w:name w:val="arabnumitem"/>
    <w:basedOn w:val="NoList"/>
    <w:pPr>
      <w:numPr>
        <w:numId w:val="5"/>
      </w:numPr>
    </w:pPr>
  </w:style>
  <w:style w:type="paragraph" w:customStyle="1" w:styleId="author">
    <w:name w:val="author"/>
    <w:basedOn w:val="Normal"/>
    <w:next w:val="address"/>
    <w:pPr>
      <w:spacing w:after="200" w:line="220" w:lineRule="atLeast"/>
      <w:ind w:firstLine="0"/>
      <w:jc w:val="center"/>
    </w:pPr>
  </w:style>
  <w:style w:type="paragraph" w:customStyle="1" w:styleId="bulletitem">
    <w:name w:val="bulletitem"/>
    <w:basedOn w:val="Normal"/>
    <w:pPr>
      <w:numPr>
        <w:numId w:val="2"/>
      </w:numPr>
      <w:spacing w:before="160" w:after="160"/>
      <w:contextualSpacing/>
    </w:pPr>
  </w:style>
  <w:style w:type="paragraph" w:customStyle="1" w:styleId="dashitem">
    <w:name w:val="dashitem"/>
    <w:basedOn w:val="Normal"/>
    <w:pPr>
      <w:numPr>
        <w:numId w:val="4"/>
      </w:numPr>
      <w:spacing w:before="160" w:after="160"/>
      <w:contextualSpacing/>
    </w:pPr>
  </w:style>
  <w:style w:type="character" w:customStyle="1" w:styleId="e-mail">
    <w:name w:val="e-mail"/>
    <w:basedOn w:val="DefaultParagraphFont"/>
    <w:rPr>
      <w:rFonts w:ascii="Courier" w:hAnsi="Courier"/>
      <w:noProof/>
    </w:rPr>
  </w:style>
  <w:style w:type="paragraph" w:customStyle="1" w:styleId="equation">
    <w:name w:val="equation"/>
    <w:basedOn w:val="Normal"/>
    <w:next w:val="Normal"/>
    <w:pPr>
      <w:tabs>
        <w:tab w:val="center" w:pos="3289"/>
        <w:tab w:val="right" w:pos="6917"/>
      </w:tabs>
      <w:spacing w:before="160" w:after="160"/>
      <w:ind w:firstLine="0"/>
    </w:pPr>
  </w:style>
  <w:style w:type="paragraph" w:customStyle="1" w:styleId="figurecaption">
    <w:name w:val="figurecaption"/>
    <w:basedOn w:val="Normal"/>
    <w:next w:val="Normal"/>
    <w:pPr>
      <w:keepLines/>
      <w:spacing w:before="120" w:after="240" w:line="220" w:lineRule="atLeast"/>
      <w:ind w:firstLine="0"/>
      <w:jc w:val="center"/>
    </w:pPr>
    <w:rPr>
      <w:sz w:val="18"/>
    </w:rPr>
  </w:style>
  <w:style w:type="character" w:styleId="FootnoteReference">
    <w:name w:val="footnote reference"/>
    <w:basedOn w:val="DefaultParagraphFont"/>
    <w:semiHidden/>
    <w:unhideWhenUsed/>
    <w:rPr>
      <w:position w:val="0"/>
      <w:vertAlign w:val="superscript"/>
    </w:rPr>
  </w:style>
  <w:style w:type="paragraph" w:styleId="Footer">
    <w:name w:val="footer"/>
    <w:basedOn w:val="Normal"/>
    <w:semiHidden/>
    <w:unhideWhenUsed/>
  </w:style>
  <w:style w:type="paragraph" w:customStyle="1" w:styleId="heading1">
    <w:name w:val="heading1"/>
    <w:basedOn w:val="Normal"/>
    <w:next w:val="p1a"/>
    <w:qFormat/>
    <w:pPr>
      <w:keepNext/>
      <w:keepLines/>
      <w:numPr>
        <w:numId w:val="7"/>
      </w:numPr>
      <w:suppressAutoHyphens/>
      <w:spacing w:before="360" w:after="240" w:line="300" w:lineRule="atLeast"/>
      <w:jc w:val="left"/>
      <w:outlineLvl w:val="0"/>
    </w:pPr>
    <w:rPr>
      <w:b/>
      <w:sz w:val="24"/>
    </w:rPr>
  </w:style>
  <w:style w:type="paragraph" w:customStyle="1" w:styleId="heading2">
    <w:name w:val="heading2"/>
    <w:basedOn w:val="Normal"/>
    <w:next w:val="p1a"/>
    <w:qFormat/>
    <w:pPr>
      <w:keepNext/>
      <w:keepLines/>
      <w:numPr>
        <w:ilvl w:val="1"/>
        <w:numId w:val="7"/>
      </w:numPr>
      <w:suppressAutoHyphens/>
      <w:spacing w:before="360" w:after="160"/>
      <w:jc w:val="left"/>
      <w:outlineLvl w:val="1"/>
    </w:pPr>
    <w:rPr>
      <w:b/>
    </w:rPr>
  </w:style>
  <w:style w:type="character" w:customStyle="1" w:styleId="heading30">
    <w:name w:val="heading3"/>
    <w:basedOn w:val="DefaultParagraphFont"/>
    <w:rPr>
      <w:b/>
    </w:rPr>
  </w:style>
  <w:style w:type="character" w:customStyle="1" w:styleId="heading40">
    <w:name w:val="heading4"/>
    <w:basedOn w:val="DefaultParagraphFont"/>
    <w:rPr>
      <w:i/>
    </w:rPr>
  </w:style>
  <w:style w:type="numbering" w:customStyle="1" w:styleId="headings">
    <w:name w:val="headings"/>
    <w:basedOn w:val="arabnumitem"/>
    <w:pPr>
      <w:numPr>
        <w:numId w:val="7"/>
      </w:numPr>
    </w:pPr>
  </w:style>
  <w:style w:type="character" w:styleId="Hyperlink">
    <w:name w:val="Hyperlink"/>
    <w:basedOn w:val="DefaultParagraphFont"/>
    <w:semiHidden/>
    <w:unhideWhenUsed/>
    <w:rPr>
      <w:color w:val="auto"/>
      <w:u w:val="none"/>
    </w:rPr>
  </w:style>
  <w:style w:type="paragraph" w:customStyle="1" w:styleId="image">
    <w:name w:val="image"/>
    <w:basedOn w:val="Normal"/>
    <w:next w:val="Normal"/>
    <w:pPr>
      <w:spacing w:before="240" w:after="120"/>
      <w:ind w:firstLine="0"/>
      <w:jc w:val="center"/>
    </w:pPr>
  </w:style>
  <w:style w:type="numbering" w:customStyle="1" w:styleId="itemization1">
    <w:name w:val="itemization1"/>
    <w:basedOn w:val="NoList"/>
    <w:pPr>
      <w:numPr>
        <w:numId w:val="1"/>
      </w:numPr>
    </w:pPr>
  </w:style>
  <w:style w:type="numbering" w:customStyle="1" w:styleId="itemization2">
    <w:name w:val="itemization2"/>
    <w:basedOn w:val="NoList"/>
    <w:pPr>
      <w:numPr>
        <w:numId w:val="3"/>
      </w:numPr>
    </w:pPr>
  </w:style>
  <w:style w:type="paragraph" w:customStyle="1" w:styleId="keywords">
    <w:name w:val="keywords"/>
    <w:basedOn w:val="abstract"/>
    <w:next w:val="heading1"/>
    <w:pPr>
      <w:spacing w:before="220"/>
      <w:ind w:firstLine="0"/>
      <w:contextualSpacing w:val="0"/>
      <w:jc w:val="left"/>
    </w:pPr>
  </w:style>
  <w:style w:type="paragraph" w:styleId="Header">
    <w:name w:val="header"/>
    <w:basedOn w:val="Normal"/>
    <w:semiHidden/>
    <w:unhideWhenUsed/>
    <w:pPr>
      <w:tabs>
        <w:tab w:val="center" w:pos="4536"/>
        <w:tab w:val="right" w:pos="9072"/>
      </w:tabs>
      <w:ind w:firstLine="0"/>
    </w:pPr>
    <w:rPr>
      <w:sz w:val="18"/>
      <w:szCs w:val="18"/>
    </w:rPr>
  </w:style>
  <w:style w:type="paragraph" w:customStyle="1" w:styleId="numitem">
    <w:name w:val="numitem"/>
    <w:basedOn w:val="Normal"/>
    <w:pPr>
      <w:numPr>
        <w:numId w:val="6"/>
      </w:numPr>
      <w:spacing w:before="160" w:after="160"/>
      <w:contextualSpacing/>
    </w:pPr>
  </w:style>
  <w:style w:type="paragraph" w:customStyle="1" w:styleId="p1a">
    <w:name w:val="p1a"/>
    <w:basedOn w:val="Normal"/>
    <w:next w:val="Normal"/>
    <w:pPr>
      <w:ind w:firstLine="0"/>
    </w:pPr>
  </w:style>
  <w:style w:type="paragraph" w:customStyle="1" w:styleId="programcode">
    <w:name w:val="programcode"/>
    <w:basedOn w:val="Normal"/>
    <w:pPr>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s>
      <w:spacing w:before="160" w:after="160"/>
      <w:ind w:firstLine="0"/>
      <w:contextualSpacing/>
      <w:jc w:val="left"/>
    </w:pPr>
    <w:rPr>
      <w:rFonts w:ascii="Courier" w:hAnsi="Courier"/>
    </w:rPr>
  </w:style>
  <w:style w:type="paragraph" w:customStyle="1" w:styleId="referenceitem">
    <w:name w:val="referenceitem"/>
    <w:basedOn w:val="Normal"/>
    <w:pPr>
      <w:numPr>
        <w:numId w:val="9"/>
      </w:numPr>
      <w:spacing w:line="220" w:lineRule="atLeast"/>
    </w:pPr>
    <w:rPr>
      <w:sz w:val="18"/>
    </w:rPr>
  </w:style>
  <w:style w:type="numbering" w:customStyle="1" w:styleId="referencelist">
    <w:name w:val="referencelist"/>
    <w:basedOn w:val="NoList"/>
    <w:semiHidden/>
    <w:pPr>
      <w:numPr>
        <w:numId w:val="8"/>
      </w:numPr>
    </w:pPr>
  </w:style>
  <w:style w:type="paragraph" w:customStyle="1" w:styleId="runninghead-left">
    <w:name w:val="running head - left"/>
    <w:basedOn w:val="Normal"/>
    <w:pPr>
      <w:ind w:firstLine="0"/>
      <w:jc w:val="left"/>
    </w:pPr>
    <w:rPr>
      <w:sz w:val="18"/>
      <w:szCs w:val="18"/>
    </w:rPr>
  </w:style>
  <w:style w:type="paragraph" w:customStyle="1" w:styleId="runninghead-right">
    <w:name w:val="running head - right"/>
    <w:basedOn w:val="Normal"/>
    <w:pPr>
      <w:ind w:firstLine="0"/>
      <w:jc w:val="right"/>
    </w:pPr>
    <w:rPr>
      <w:bCs/>
      <w:sz w:val="18"/>
      <w:szCs w:val="18"/>
    </w:rPr>
  </w:style>
  <w:style w:type="character" w:styleId="PageNumber">
    <w:name w:val="page number"/>
    <w:basedOn w:val="DefaultParagraphFont"/>
    <w:semiHidden/>
    <w:unhideWhenUsed/>
    <w:rPr>
      <w:sz w:val="18"/>
    </w:rPr>
  </w:style>
  <w:style w:type="paragraph" w:customStyle="1" w:styleId="papertitle">
    <w:name w:val="papertitle"/>
    <w:basedOn w:val="Normal"/>
    <w:next w:val="author"/>
    <w:pPr>
      <w:keepNext/>
      <w:keepLines/>
      <w:suppressAutoHyphens/>
      <w:spacing w:after="480" w:line="360" w:lineRule="atLeast"/>
      <w:ind w:firstLine="0"/>
      <w:jc w:val="center"/>
    </w:pPr>
    <w:rPr>
      <w:b/>
      <w:sz w:val="28"/>
    </w:rPr>
  </w:style>
  <w:style w:type="paragraph" w:customStyle="1" w:styleId="papersubtitle">
    <w:name w:val="papersubtitle"/>
    <w:basedOn w:val="papertitle"/>
    <w:next w:val="author"/>
    <w:pPr>
      <w:spacing w:before="120" w:line="280" w:lineRule="atLeast"/>
    </w:pPr>
    <w:rPr>
      <w:sz w:val="24"/>
    </w:rPr>
  </w:style>
  <w:style w:type="paragraph" w:customStyle="1" w:styleId="tablecaption">
    <w:name w:val="tablecaption"/>
    <w:basedOn w:val="Normal"/>
    <w:next w:val="Normal"/>
    <w:pPr>
      <w:keepNext/>
      <w:keepLines/>
      <w:spacing w:before="240" w:after="120" w:line="220" w:lineRule="atLeast"/>
      <w:ind w:firstLine="0"/>
      <w:jc w:val="center"/>
    </w:pPr>
    <w:rPr>
      <w:sz w:val="18"/>
    </w:rPr>
  </w:style>
  <w:style w:type="character" w:customStyle="1" w:styleId="url">
    <w:name w:val="url"/>
    <w:basedOn w:val="DefaultParagraphFont"/>
    <w:rPr>
      <w:rFonts w:ascii="Courier" w:hAnsi="Courier"/>
      <w:noProof/>
    </w:rPr>
  </w:style>
  <w:style w:type="character" w:customStyle="1" w:styleId="ORCID">
    <w:name w:val="ORCID"/>
    <w:basedOn w:val="DefaultParagraphFont"/>
    <w:rPr>
      <w:position w:val="0"/>
      <w:vertAlign w:val="superscript"/>
    </w:rPr>
  </w:style>
  <w:style w:type="paragraph" w:styleId="FootnoteText">
    <w:name w:val="footnote text"/>
    <w:basedOn w:val="Normal"/>
    <w:semiHidden/>
    <w:pPr>
      <w:spacing w:line="220" w:lineRule="atLeast"/>
      <w:ind w:left="227" w:hanging="227"/>
    </w:pPr>
    <w:rPr>
      <w:sz w:val="18"/>
    </w:rPr>
  </w:style>
  <w:style w:type="paragraph" w:customStyle="1" w:styleId="ReferenceLine">
    <w:name w:val="ReferenceLine"/>
    <w:basedOn w:val="p1a"/>
    <w:semiHidden/>
    <w:unhideWhenUsed/>
    <w:pPr>
      <w:spacing w:line="200" w:lineRule="exact"/>
    </w:pPr>
    <w:rPr>
      <w:sz w:val="16"/>
    </w:rPr>
  </w:style>
  <w:style w:type="paragraph" w:customStyle="1" w:styleId="pdq2pgselectionanchorcontainer">
    <w:name w:val="pdq2pg_selectionanchorcontainer"/>
    <w:basedOn w:val="Normal"/>
    <w:rsid w:val="007709E1"/>
    <w:pPr>
      <w:overflowPunct/>
      <w:autoSpaceDE/>
      <w:autoSpaceDN/>
      <w:adjustRightInd/>
      <w:spacing w:before="100" w:beforeAutospacing="1" w:after="100" w:afterAutospacing="1" w:line="240" w:lineRule="auto"/>
      <w:ind w:firstLine="0"/>
      <w:jc w:val="left"/>
      <w:textAlignment w:val="auto"/>
    </w:pPr>
    <w:rPr>
      <w:sz w:val="24"/>
      <w:szCs w:val="24"/>
      <w:lang w:eastAsia="ja-JP"/>
    </w:rPr>
  </w:style>
  <w:style w:type="character" w:styleId="Emphasis">
    <w:name w:val="Emphasis"/>
    <w:basedOn w:val="DefaultParagraphFont"/>
    <w:uiPriority w:val="20"/>
    <w:qFormat/>
    <w:rsid w:val="007709E1"/>
    <w:rPr>
      <w:i/>
      <w:iCs/>
    </w:rPr>
  </w:style>
  <w:style w:type="paragraph" w:styleId="NormalWeb">
    <w:name w:val="Normal (Web)"/>
    <w:basedOn w:val="Normal"/>
    <w:uiPriority w:val="99"/>
    <w:semiHidden/>
    <w:unhideWhenUsed/>
    <w:rsid w:val="007709E1"/>
    <w:pPr>
      <w:overflowPunct/>
      <w:autoSpaceDE/>
      <w:autoSpaceDN/>
      <w:adjustRightInd/>
      <w:spacing w:before="100" w:beforeAutospacing="1" w:after="100" w:afterAutospacing="1" w:line="240" w:lineRule="auto"/>
      <w:ind w:firstLine="0"/>
      <w:jc w:val="left"/>
      <w:textAlignment w:val="auto"/>
    </w:pPr>
    <w:rPr>
      <w:sz w:val="24"/>
      <w:szCs w:val="24"/>
      <w:lang w:eastAsia="ja-JP"/>
    </w:rPr>
  </w:style>
  <w:style w:type="character" w:styleId="PlaceholderText">
    <w:name w:val="Placeholder Text"/>
    <w:basedOn w:val="DefaultParagraphFont"/>
    <w:semiHidden/>
    <w:rsid w:val="00C6668A"/>
    <w:rPr>
      <w:color w:val="666666"/>
    </w:rPr>
  </w:style>
  <w:style w:type="table" w:styleId="TableGrid">
    <w:name w:val="Table Grid"/>
    <w:basedOn w:val="TableNormal"/>
    <w:rsid w:val="003F6CF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semiHidden/>
    <w:rsid w:val="00DB51EC"/>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425381">
      <w:bodyDiv w:val="1"/>
      <w:marLeft w:val="0"/>
      <w:marRight w:val="0"/>
      <w:marTop w:val="0"/>
      <w:marBottom w:val="0"/>
      <w:divBdr>
        <w:top w:val="none" w:sz="0" w:space="0" w:color="auto"/>
        <w:left w:val="none" w:sz="0" w:space="0" w:color="auto"/>
        <w:bottom w:val="none" w:sz="0" w:space="0" w:color="auto"/>
        <w:right w:val="none" w:sz="0" w:space="0" w:color="auto"/>
      </w:divBdr>
    </w:div>
    <w:div w:id="213127590">
      <w:bodyDiv w:val="1"/>
      <w:marLeft w:val="0"/>
      <w:marRight w:val="0"/>
      <w:marTop w:val="0"/>
      <w:marBottom w:val="0"/>
      <w:divBdr>
        <w:top w:val="none" w:sz="0" w:space="0" w:color="auto"/>
        <w:left w:val="none" w:sz="0" w:space="0" w:color="auto"/>
        <w:bottom w:val="none" w:sz="0" w:space="0" w:color="auto"/>
        <w:right w:val="none" w:sz="0" w:space="0" w:color="auto"/>
      </w:divBdr>
    </w:div>
    <w:div w:id="403337818">
      <w:bodyDiv w:val="1"/>
      <w:marLeft w:val="0"/>
      <w:marRight w:val="0"/>
      <w:marTop w:val="0"/>
      <w:marBottom w:val="0"/>
      <w:divBdr>
        <w:top w:val="none" w:sz="0" w:space="0" w:color="auto"/>
        <w:left w:val="none" w:sz="0" w:space="0" w:color="auto"/>
        <w:bottom w:val="none" w:sz="0" w:space="0" w:color="auto"/>
        <w:right w:val="none" w:sz="0" w:space="0" w:color="auto"/>
      </w:divBdr>
    </w:div>
    <w:div w:id="637492172">
      <w:bodyDiv w:val="1"/>
      <w:marLeft w:val="0"/>
      <w:marRight w:val="0"/>
      <w:marTop w:val="0"/>
      <w:marBottom w:val="0"/>
      <w:divBdr>
        <w:top w:val="none" w:sz="0" w:space="0" w:color="auto"/>
        <w:left w:val="none" w:sz="0" w:space="0" w:color="auto"/>
        <w:bottom w:val="none" w:sz="0" w:space="0" w:color="auto"/>
        <w:right w:val="none" w:sz="0" w:space="0" w:color="auto"/>
      </w:divBdr>
    </w:div>
    <w:div w:id="702369245">
      <w:bodyDiv w:val="1"/>
      <w:marLeft w:val="0"/>
      <w:marRight w:val="0"/>
      <w:marTop w:val="0"/>
      <w:marBottom w:val="0"/>
      <w:divBdr>
        <w:top w:val="none" w:sz="0" w:space="0" w:color="auto"/>
        <w:left w:val="none" w:sz="0" w:space="0" w:color="auto"/>
        <w:bottom w:val="none" w:sz="0" w:space="0" w:color="auto"/>
        <w:right w:val="none" w:sz="0" w:space="0" w:color="auto"/>
      </w:divBdr>
      <w:divsChild>
        <w:div w:id="1209300480">
          <w:marLeft w:val="0"/>
          <w:marRight w:val="0"/>
          <w:marTop w:val="0"/>
          <w:marBottom w:val="0"/>
          <w:divBdr>
            <w:top w:val="none" w:sz="0" w:space="0" w:color="auto"/>
            <w:left w:val="none" w:sz="0" w:space="0" w:color="auto"/>
            <w:bottom w:val="none" w:sz="0" w:space="0" w:color="auto"/>
            <w:right w:val="none" w:sz="0" w:space="0" w:color="auto"/>
          </w:divBdr>
        </w:div>
        <w:div w:id="434516186">
          <w:marLeft w:val="0"/>
          <w:marRight w:val="0"/>
          <w:marTop w:val="0"/>
          <w:marBottom w:val="0"/>
          <w:divBdr>
            <w:top w:val="none" w:sz="0" w:space="0" w:color="auto"/>
            <w:left w:val="none" w:sz="0" w:space="0" w:color="auto"/>
            <w:bottom w:val="none" w:sz="0" w:space="0" w:color="auto"/>
            <w:right w:val="none" w:sz="0" w:space="0" w:color="auto"/>
          </w:divBdr>
        </w:div>
      </w:divsChild>
    </w:div>
    <w:div w:id="822701917">
      <w:bodyDiv w:val="1"/>
      <w:marLeft w:val="0"/>
      <w:marRight w:val="0"/>
      <w:marTop w:val="0"/>
      <w:marBottom w:val="0"/>
      <w:divBdr>
        <w:top w:val="none" w:sz="0" w:space="0" w:color="auto"/>
        <w:left w:val="none" w:sz="0" w:space="0" w:color="auto"/>
        <w:bottom w:val="none" w:sz="0" w:space="0" w:color="auto"/>
        <w:right w:val="none" w:sz="0" w:space="0" w:color="auto"/>
      </w:divBdr>
      <w:divsChild>
        <w:div w:id="2106076915">
          <w:marLeft w:val="0"/>
          <w:marRight w:val="0"/>
          <w:marTop w:val="120"/>
          <w:marBottom w:val="120"/>
          <w:divBdr>
            <w:top w:val="none" w:sz="0" w:space="0" w:color="auto"/>
            <w:left w:val="none" w:sz="0" w:space="0" w:color="auto"/>
            <w:bottom w:val="none" w:sz="0" w:space="0" w:color="auto"/>
            <w:right w:val="none" w:sz="0" w:space="0" w:color="auto"/>
          </w:divBdr>
        </w:div>
      </w:divsChild>
    </w:div>
    <w:div w:id="855929090">
      <w:bodyDiv w:val="1"/>
      <w:marLeft w:val="0"/>
      <w:marRight w:val="0"/>
      <w:marTop w:val="0"/>
      <w:marBottom w:val="0"/>
      <w:divBdr>
        <w:top w:val="none" w:sz="0" w:space="0" w:color="auto"/>
        <w:left w:val="none" w:sz="0" w:space="0" w:color="auto"/>
        <w:bottom w:val="none" w:sz="0" w:space="0" w:color="auto"/>
        <w:right w:val="none" w:sz="0" w:space="0" w:color="auto"/>
      </w:divBdr>
    </w:div>
    <w:div w:id="966200307">
      <w:bodyDiv w:val="1"/>
      <w:marLeft w:val="0"/>
      <w:marRight w:val="0"/>
      <w:marTop w:val="0"/>
      <w:marBottom w:val="0"/>
      <w:divBdr>
        <w:top w:val="none" w:sz="0" w:space="0" w:color="auto"/>
        <w:left w:val="none" w:sz="0" w:space="0" w:color="auto"/>
        <w:bottom w:val="none" w:sz="0" w:space="0" w:color="auto"/>
        <w:right w:val="none" w:sz="0" w:space="0" w:color="auto"/>
      </w:divBdr>
      <w:divsChild>
        <w:div w:id="2089114648">
          <w:marLeft w:val="0"/>
          <w:marRight w:val="0"/>
          <w:marTop w:val="120"/>
          <w:marBottom w:val="120"/>
          <w:divBdr>
            <w:top w:val="none" w:sz="0" w:space="0" w:color="auto"/>
            <w:left w:val="none" w:sz="0" w:space="0" w:color="auto"/>
            <w:bottom w:val="none" w:sz="0" w:space="0" w:color="auto"/>
            <w:right w:val="none" w:sz="0" w:space="0" w:color="auto"/>
          </w:divBdr>
        </w:div>
      </w:divsChild>
    </w:div>
    <w:div w:id="1077047061">
      <w:bodyDiv w:val="1"/>
      <w:marLeft w:val="0"/>
      <w:marRight w:val="0"/>
      <w:marTop w:val="0"/>
      <w:marBottom w:val="0"/>
      <w:divBdr>
        <w:top w:val="none" w:sz="0" w:space="0" w:color="auto"/>
        <w:left w:val="none" w:sz="0" w:space="0" w:color="auto"/>
        <w:bottom w:val="none" w:sz="0" w:space="0" w:color="auto"/>
        <w:right w:val="none" w:sz="0" w:space="0" w:color="auto"/>
      </w:divBdr>
    </w:div>
    <w:div w:id="1454596074">
      <w:bodyDiv w:val="1"/>
      <w:marLeft w:val="0"/>
      <w:marRight w:val="0"/>
      <w:marTop w:val="0"/>
      <w:marBottom w:val="0"/>
      <w:divBdr>
        <w:top w:val="none" w:sz="0" w:space="0" w:color="auto"/>
        <w:left w:val="none" w:sz="0" w:space="0" w:color="auto"/>
        <w:bottom w:val="none" w:sz="0" w:space="0" w:color="auto"/>
        <w:right w:val="none" w:sz="0" w:space="0" w:color="auto"/>
      </w:divBdr>
      <w:divsChild>
        <w:div w:id="1000886433">
          <w:marLeft w:val="0"/>
          <w:marRight w:val="0"/>
          <w:marTop w:val="120"/>
          <w:marBottom w:val="120"/>
          <w:divBdr>
            <w:top w:val="none" w:sz="0" w:space="0" w:color="auto"/>
            <w:left w:val="none" w:sz="0" w:space="0" w:color="auto"/>
            <w:bottom w:val="none" w:sz="0" w:space="0" w:color="auto"/>
            <w:right w:val="none" w:sz="0" w:space="0" w:color="auto"/>
          </w:divBdr>
        </w:div>
      </w:divsChild>
    </w:div>
    <w:div w:id="1536456596">
      <w:bodyDiv w:val="1"/>
      <w:marLeft w:val="0"/>
      <w:marRight w:val="0"/>
      <w:marTop w:val="0"/>
      <w:marBottom w:val="0"/>
      <w:divBdr>
        <w:top w:val="none" w:sz="0" w:space="0" w:color="auto"/>
        <w:left w:val="none" w:sz="0" w:space="0" w:color="auto"/>
        <w:bottom w:val="none" w:sz="0" w:space="0" w:color="auto"/>
        <w:right w:val="none" w:sz="0" w:space="0" w:color="auto"/>
      </w:divBdr>
      <w:divsChild>
        <w:div w:id="541210076">
          <w:marLeft w:val="0"/>
          <w:marRight w:val="0"/>
          <w:marTop w:val="120"/>
          <w:marBottom w:val="120"/>
          <w:divBdr>
            <w:top w:val="none" w:sz="0" w:space="0" w:color="auto"/>
            <w:left w:val="none" w:sz="0" w:space="0" w:color="auto"/>
            <w:bottom w:val="none" w:sz="0" w:space="0" w:color="auto"/>
            <w:right w:val="none" w:sz="0" w:space="0" w:color="auto"/>
          </w:divBdr>
        </w:div>
      </w:divsChild>
    </w:div>
    <w:div w:id="1827044015">
      <w:bodyDiv w:val="1"/>
      <w:marLeft w:val="0"/>
      <w:marRight w:val="0"/>
      <w:marTop w:val="0"/>
      <w:marBottom w:val="0"/>
      <w:divBdr>
        <w:top w:val="none" w:sz="0" w:space="0" w:color="auto"/>
        <w:left w:val="none" w:sz="0" w:space="0" w:color="auto"/>
        <w:bottom w:val="none" w:sz="0" w:space="0" w:color="auto"/>
        <w:right w:val="none" w:sz="0" w:space="0" w:color="auto"/>
      </w:divBdr>
      <w:divsChild>
        <w:div w:id="602569386">
          <w:marLeft w:val="0"/>
          <w:marRight w:val="0"/>
          <w:marTop w:val="120"/>
          <w:marBottom w:val="120"/>
          <w:divBdr>
            <w:top w:val="none" w:sz="0" w:space="0" w:color="auto"/>
            <w:left w:val="none" w:sz="0" w:space="0" w:color="auto"/>
            <w:bottom w:val="none" w:sz="0" w:space="0" w:color="auto"/>
            <w:right w:val="none" w:sz="0" w:space="0" w:color="auto"/>
          </w:divBdr>
        </w:div>
      </w:divsChild>
    </w:div>
    <w:div w:id="1964381043">
      <w:bodyDiv w:val="1"/>
      <w:marLeft w:val="0"/>
      <w:marRight w:val="0"/>
      <w:marTop w:val="0"/>
      <w:marBottom w:val="0"/>
      <w:divBdr>
        <w:top w:val="none" w:sz="0" w:space="0" w:color="auto"/>
        <w:left w:val="none" w:sz="0" w:space="0" w:color="auto"/>
        <w:bottom w:val="none" w:sz="0" w:space="0" w:color="auto"/>
        <w:right w:val="none" w:sz="0" w:space="0" w:color="auto"/>
      </w:divBdr>
    </w:div>
    <w:div w:id="2047439396">
      <w:bodyDiv w:val="1"/>
      <w:marLeft w:val="0"/>
      <w:marRight w:val="0"/>
      <w:marTop w:val="0"/>
      <w:marBottom w:val="0"/>
      <w:divBdr>
        <w:top w:val="none" w:sz="0" w:space="0" w:color="auto"/>
        <w:left w:val="none" w:sz="0" w:space="0" w:color="auto"/>
        <w:bottom w:val="none" w:sz="0" w:space="0" w:color="auto"/>
        <w:right w:val="none" w:sz="0" w:space="0" w:color="auto"/>
      </w:divBdr>
      <w:divsChild>
        <w:div w:id="628558461">
          <w:marLeft w:val="0"/>
          <w:marRight w:val="0"/>
          <w:marTop w:val="120"/>
          <w:marBottom w:val="12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tif"/><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tif"/><Relationship Id="rId4" Type="http://schemas.openxmlformats.org/officeDocument/2006/relationships/settings" Target="settings.xml"/><Relationship Id="rId9" Type="http://schemas.openxmlformats.org/officeDocument/2006/relationships/image" Target="media/image2.tif"/><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eDrive%20-%20apps.ipb.ac.id\Paper%20MALAYSIA\BOND21%202026%20(Full%20Paper)%20Heriyanto%20IPB.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000763-09B5-8848-B637-FCADF86EB1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D:\OneDrive - apps.ipb.ac.id\Paper MALAYSIA\BOND21 2026 (Full Paper) Heriyanto IPB.dotx</Template>
  <TotalTime>469</TotalTime>
  <Pages>13</Pages>
  <Words>8672</Words>
  <Characters>49432</Characters>
  <Application>Microsoft Office Word</Application>
  <DocSecurity>0</DocSecurity>
  <Lines>411</Lines>
  <Paragraphs>115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dataspect IT-Services, Neckargemuend, Germany</Company>
  <LinksUpToDate>false</LinksUpToDate>
  <CharactersWithSpaces>57989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HY</dc:creator>
  <dc:description>Formats and macros for Springer Lecture Notes</dc:description>
  <cp:lastModifiedBy>Heriyanto Syafutra</cp:lastModifiedBy>
  <cp:revision>32</cp:revision>
  <dcterms:created xsi:type="dcterms:W3CDTF">2026-09-16T08:17:00Z</dcterms:created>
  <dcterms:modified xsi:type="dcterms:W3CDTF">2026-10-15T15:55:00Z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http://www.zotero.org/styles/ieee-transactions-on-ultrasonics-ferroelectrics-and-frequency-control</vt:lpwstr>
  </property>
  <property fmtid="{D5CDD505-2E9C-101B-9397-08002B2CF9AE}" pid="15" name="Mendeley Recent Style Name 6_1">
    <vt:lpwstr>IEEE Transactions on Ultrasonics, Ferroelectrics and Frequency Control</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http://www.zotero.org/styles/thin-solid-films</vt:lpwstr>
  </property>
  <property fmtid="{D5CDD505-2E9C-101B-9397-08002B2CF9AE}" pid="21" name="Mendeley Recent Style Name 9_1">
    <vt:lpwstr>Thin Solid Films</vt:lpwstr>
  </property>
  <property fmtid="{D5CDD505-2E9C-101B-9397-08002B2CF9AE}" pid="22" name="Mendeley Document_1">
    <vt:lpwstr>True</vt:lpwstr>
  </property>
  <property fmtid="{D5CDD505-2E9C-101B-9397-08002B2CF9AE}" pid="23" name="Mendeley Unique User Id_1">
    <vt:lpwstr>944dbbfd-0360-3e24-8707-5797949204d9</vt:lpwstr>
  </property>
  <property fmtid="{D5CDD505-2E9C-101B-9397-08002B2CF9AE}" pid="24" name="Mendeley Citation Style_1">
    <vt:lpwstr>http://www.zotero.org/styles/ieee</vt:lpwstr>
  </property>
</Properties>
</file>