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2FCCE" w14:textId="6317005D" w:rsidR="008E6259" w:rsidRPr="00BB38AD" w:rsidRDefault="008E6259" w:rsidP="00753343">
      <w:pPr>
        <w:ind w:firstLine="0"/>
        <w:jc w:val="center"/>
        <w:rPr>
          <w:b/>
          <w:color w:val="000000"/>
          <w:sz w:val="28"/>
          <w:szCs w:val="28"/>
        </w:rPr>
      </w:pPr>
      <w:r w:rsidRPr="00BB38AD">
        <w:rPr>
          <w:b/>
          <w:color w:val="000000"/>
          <w:sz w:val="28"/>
          <w:szCs w:val="28"/>
        </w:rPr>
        <w:t xml:space="preserve">A DFT Study on the Optoelectronic Properties of Galangin-Based Sensitizers: Effect of Acceptor and </w:t>
      </w:r>
      <m:oMath>
        <m:r>
          <m:rPr>
            <m:sty m:val="bi"/>
          </m:rPr>
          <w:rPr>
            <w:rFonts w:ascii="Cambria Math" w:hAnsi="Cambria Math"/>
            <w:color w:val="000000"/>
            <w:sz w:val="28"/>
            <w:szCs w:val="28"/>
          </w:rPr>
          <m:t>π</m:t>
        </m:r>
      </m:oMath>
      <w:r w:rsidRPr="00BB38AD">
        <w:rPr>
          <w:b/>
          <w:color w:val="000000"/>
          <w:sz w:val="28"/>
          <w:szCs w:val="28"/>
        </w:rPr>
        <w:t>-Spacer Variation</w:t>
      </w:r>
    </w:p>
    <w:p w14:paraId="2ACAD7CE" w14:textId="77777777" w:rsidR="008E6259" w:rsidRPr="00BB38AD" w:rsidRDefault="008E6259" w:rsidP="008E6259">
      <w:pPr>
        <w:jc w:val="center"/>
        <w:rPr>
          <w:b/>
          <w:color w:val="000000"/>
          <w:sz w:val="28"/>
          <w:szCs w:val="28"/>
        </w:rPr>
      </w:pPr>
    </w:p>
    <w:p w14:paraId="328BB3A8" w14:textId="15737755" w:rsidR="00E774E8" w:rsidRPr="00BB38AD" w:rsidRDefault="008E6259" w:rsidP="008E6259">
      <w:pPr>
        <w:pStyle w:val="author"/>
        <w:rPr>
          <w:b/>
          <w:bCs/>
          <w:vertAlign w:val="superscript"/>
          <w:lang w:val="en-ID"/>
        </w:rPr>
      </w:pPr>
      <w:r w:rsidRPr="00BB38AD">
        <w:rPr>
          <w:b/>
          <w:color w:val="000000"/>
          <w:sz w:val="22"/>
          <w:szCs w:val="22"/>
        </w:rPr>
        <w:t>Faozan Ahmad</w:t>
      </w:r>
      <w:r w:rsidRPr="00BB38AD">
        <w:rPr>
          <w:vertAlign w:val="superscript"/>
        </w:rPr>
        <w:t xml:space="preserve"> </w:t>
      </w:r>
      <w:r w:rsidR="009B2539" w:rsidRPr="00BB38AD">
        <w:rPr>
          <w:vertAlign w:val="superscript"/>
        </w:rPr>
        <w:t>1</w:t>
      </w:r>
      <w:r w:rsidR="009B2539" w:rsidRPr="00BB38AD">
        <w:rPr>
          <w:rStyle w:val="ORCID"/>
        </w:rPr>
        <w:t>[</w:t>
      </w:r>
      <w:r w:rsidRPr="00BB38AD">
        <w:rPr>
          <w:b/>
          <w:bCs/>
          <w:vertAlign w:val="superscript"/>
          <w:lang w:val="en-ID"/>
        </w:rPr>
        <w:t>0000-0001-6182-0780</w:t>
      </w:r>
      <w:r w:rsidR="009B2539" w:rsidRPr="00BB38AD">
        <w:rPr>
          <w:rStyle w:val="ORCID"/>
        </w:rPr>
        <w:t>]</w:t>
      </w:r>
      <w:r w:rsidRPr="00BB38AD">
        <w:rPr>
          <w:b/>
          <w:color w:val="000000"/>
          <w:sz w:val="22"/>
          <w:szCs w:val="22"/>
        </w:rPr>
        <w:t>, Ahmad Rizky</w:t>
      </w:r>
      <w:r w:rsidRPr="00BB38AD">
        <w:rPr>
          <w:bCs/>
          <w:color w:val="000000"/>
          <w:sz w:val="22"/>
          <w:szCs w:val="22"/>
          <w:vertAlign w:val="superscript"/>
        </w:rPr>
        <w:t>1</w:t>
      </w:r>
      <w:r w:rsidRPr="00BB38AD">
        <w:rPr>
          <w:b/>
          <w:color w:val="000000"/>
          <w:sz w:val="22"/>
          <w:szCs w:val="22"/>
        </w:rPr>
        <w:t>, Sidikrubadi Pramudito</w:t>
      </w:r>
      <w:r w:rsidRPr="00BB38AD">
        <w:rPr>
          <w:bCs/>
          <w:color w:val="000000"/>
          <w:sz w:val="22"/>
          <w:szCs w:val="22"/>
          <w:vertAlign w:val="superscript"/>
        </w:rPr>
        <w:t>1</w:t>
      </w:r>
      <w:r w:rsidRPr="00BB38AD">
        <w:rPr>
          <w:b/>
          <w:color w:val="000000"/>
          <w:sz w:val="22"/>
          <w:szCs w:val="22"/>
        </w:rPr>
        <w:t>, and Husin Alatas</w:t>
      </w:r>
      <w:r w:rsidRPr="00BB38AD">
        <w:rPr>
          <w:vertAlign w:val="superscript"/>
        </w:rPr>
        <w:t>1,2</w:t>
      </w:r>
      <w:r w:rsidR="009B2539" w:rsidRPr="00BB38AD">
        <w:rPr>
          <w:rStyle w:val="ORCID"/>
        </w:rPr>
        <w:t>[</w:t>
      </w:r>
      <w:hyperlink r:id="rId8" w:history="1">
        <w:r w:rsidRPr="00BB38AD">
          <w:rPr>
            <w:rStyle w:val="Hyperlink"/>
            <w:vertAlign w:val="superscript"/>
          </w:rPr>
          <w:t>0000-0002-7570-3267</w:t>
        </w:r>
      </w:hyperlink>
      <w:r w:rsidR="009B2539" w:rsidRPr="00BB38AD">
        <w:rPr>
          <w:rStyle w:val="ORCID"/>
        </w:rPr>
        <w:t>]</w:t>
      </w:r>
    </w:p>
    <w:p w14:paraId="199293D6" w14:textId="2E3933EE" w:rsidR="008E6259" w:rsidRPr="00BB38AD" w:rsidRDefault="008E6259" w:rsidP="008E6259">
      <w:pPr>
        <w:tabs>
          <w:tab w:val="left" w:pos="-879"/>
          <w:tab w:val="left" w:pos="270"/>
          <w:tab w:val="left" w:pos="1627"/>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90" w:hanging="90"/>
        <w:jc w:val="center"/>
      </w:pPr>
      <w:r w:rsidRPr="00BB38AD">
        <w:rPr>
          <w:vertAlign w:val="superscript"/>
        </w:rPr>
        <w:t xml:space="preserve">1 </w:t>
      </w:r>
      <w:r w:rsidRPr="00BB38AD">
        <w:rPr>
          <w:bCs/>
        </w:rPr>
        <w:t>Theoretical Physics Division, Department of Physics, Jl. Meranti, Kampus IPB D</w:t>
      </w:r>
      <w:r w:rsidR="001843F4" w:rsidRPr="00BB38AD">
        <w:rPr>
          <w:bCs/>
        </w:rPr>
        <w:t>ra</w:t>
      </w:r>
      <w:r w:rsidRPr="00BB38AD">
        <w:rPr>
          <w:bCs/>
        </w:rPr>
        <w:t>maga, IPB University, Bogor 16680, Indonesia</w:t>
      </w:r>
      <w:r w:rsidRPr="00BB38AD">
        <w:t>.</w:t>
      </w:r>
    </w:p>
    <w:p w14:paraId="56128CFD" w14:textId="77777777" w:rsidR="008E6259" w:rsidRPr="00BB38AD" w:rsidRDefault="008E6259" w:rsidP="008E6259">
      <w:pPr>
        <w:tabs>
          <w:tab w:val="left" w:pos="-879"/>
          <w:tab w:val="left" w:pos="270"/>
          <w:tab w:val="left" w:pos="1627"/>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90" w:hanging="90"/>
        <w:jc w:val="center"/>
      </w:pPr>
      <w:r w:rsidRPr="00BB38AD">
        <w:rPr>
          <w:vertAlign w:val="superscript"/>
        </w:rPr>
        <w:t>2</w:t>
      </w:r>
      <w:r w:rsidRPr="00BB38AD">
        <w:t xml:space="preserve"> Center for Transdisciplinary &amp; Sustainability Sciences (CTSS), IPB University,</w:t>
      </w:r>
    </w:p>
    <w:p w14:paraId="1A4D6A4B" w14:textId="20B7A658" w:rsidR="008E6259" w:rsidRPr="00BB38AD" w:rsidRDefault="008E6259" w:rsidP="008E6259">
      <w:pPr>
        <w:tabs>
          <w:tab w:val="left" w:pos="-879"/>
          <w:tab w:val="left" w:pos="270"/>
          <w:tab w:val="left" w:pos="1627"/>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90" w:hanging="90"/>
        <w:jc w:val="center"/>
      </w:pPr>
      <w:r w:rsidRPr="00BB38AD">
        <w:t>Kampus IPB Baranangsiang, Jl. Raya Pajajaran 27, Bogor 16128</w:t>
      </w:r>
    </w:p>
    <w:p w14:paraId="5D6FAF96" w14:textId="77777777" w:rsidR="008E6259" w:rsidRPr="00BB38AD" w:rsidRDefault="008E6259" w:rsidP="008E6259">
      <w:pPr>
        <w:tabs>
          <w:tab w:val="left" w:pos="-879"/>
          <w:tab w:val="left" w:pos="270"/>
          <w:tab w:val="left" w:pos="1627"/>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90" w:hanging="90"/>
        <w:jc w:val="center"/>
      </w:pPr>
    </w:p>
    <w:p w14:paraId="7BAAC1D6" w14:textId="4B0B1680" w:rsidR="00E774E8" w:rsidRPr="00BB38AD" w:rsidRDefault="008E6259">
      <w:pPr>
        <w:pStyle w:val="address"/>
      </w:pPr>
      <w:r w:rsidRPr="00BB38AD">
        <w:rPr>
          <w:rStyle w:val="e-mail"/>
        </w:rPr>
        <w:t>faozan</w:t>
      </w:r>
      <w:r w:rsidR="009B2539" w:rsidRPr="00BB38AD">
        <w:rPr>
          <w:rStyle w:val="e-mail"/>
        </w:rPr>
        <w:t>@</w:t>
      </w:r>
      <w:r w:rsidRPr="00BB38AD">
        <w:rPr>
          <w:rStyle w:val="e-mail"/>
        </w:rPr>
        <w:t>apps.ipb.ac.id</w:t>
      </w:r>
    </w:p>
    <w:p w14:paraId="3B392D49" w14:textId="2B1E0647" w:rsidR="00570C55" w:rsidRPr="00BB38AD" w:rsidRDefault="009B2539" w:rsidP="00570C55">
      <w:r w:rsidRPr="00BB38AD">
        <w:rPr>
          <w:b/>
          <w:bCs/>
        </w:rPr>
        <w:t xml:space="preserve">Abstract. </w:t>
      </w:r>
      <w:r w:rsidR="00FC4282" w:rsidRPr="00BB38AD">
        <w:t xml:space="preserve">Galangin is a natural flavonoid with a conjugated molecular framework that offers potential as a platform for optoelectronic sensitizer design; however, its intrinsic absorption is predominantly located in the ultraviolet region. To address this limitation, this study performs dispersion-corrected DFT and TD-DFT calculations to evaluate the effects of π-spacer and terminal acceptor variation on the optoelectronic properties of galangin-based sensitizers. Furan and thiophene are employed as π-spacers, while 4-ethynylbenzoic acid and ethyl cyanoacetate are used as terminal acceptors. This study finds that all designed sensitizers exhibit reduced HOMO–LUMO gaps, bathochromic shifts, and enhanced light-harvesting efficiencies compared with pristine galangin. The smallest energy gap is found on GTS (3.199 eV), followed by the longest absorption wavelength on GFS (345.1 nm), and the highest light-harvesting efficiency on GTB (0.979). These results </w:t>
      </w:r>
      <w:r w:rsidR="000465F6" w:rsidRPr="00BB38AD">
        <w:t>show</w:t>
      </w:r>
      <w:r w:rsidR="00FC4282" w:rsidRPr="00BB38AD">
        <w:t xml:space="preserve"> that π-spacer and acceptor engineering provides an effective strategy for tuning the optoelectronic properties of galangin-based sensitizers.</w:t>
      </w:r>
    </w:p>
    <w:p w14:paraId="45791F57" w14:textId="77777777" w:rsidR="00570C55" w:rsidRPr="00BB38AD" w:rsidRDefault="00570C55" w:rsidP="00570C55">
      <w:pPr>
        <w:ind w:firstLine="0"/>
        <w:rPr>
          <w:b/>
          <w:bCs/>
        </w:rPr>
      </w:pPr>
    </w:p>
    <w:p w14:paraId="542345F8" w14:textId="6DBDBC4D" w:rsidR="00E774E8" w:rsidRPr="00BB38AD" w:rsidRDefault="009B2539" w:rsidP="00570C55">
      <w:pPr>
        <w:ind w:firstLine="0"/>
      </w:pPr>
      <w:r w:rsidRPr="00BB38AD">
        <w:rPr>
          <w:b/>
          <w:bCs/>
        </w:rPr>
        <w:t>Keywords:</w:t>
      </w:r>
      <w:r w:rsidRPr="00BB38AD">
        <w:t xml:space="preserve"> </w:t>
      </w:r>
      <w:r w:rsidR="00570C55" w:rsidRPr="00BB38AD">
        <w:t>Galangin; DFT; TD-DFT; π-spacer; sensitizer; optoelectronic properties</w:t>
      </w:r>
    </w:p>
    <w:p w14:paraId="684025F0" w14:textId="06A1BA93" w:rsidR="00E774E8" w:rsidRPr="00BB38AD" w:rsidRDefault="008E6259">
      <w:pPr>
        <w:pStyle w:val="heading1"/>
      </w:pPr>
      <w:r w:rsidRPr="00BB38AD">
        <w:t>Introduction</w:t>
      </w:r>
    </w:p>
    <w:p w14:paraId="01C61EC0" w14:textId="0F2EA57D" w:rsidR="00782234" w:rsidRPr="00BB38AD" w:rsidRDefault="00586508" w:rsidP="00782234">
      <w:pPr>
        <w:widowControl w:val="0"/>
        <w:suppressAutoHyphens/>
        <w:ind w:firstLine="0"/>
        <w:rPr>
          <w:lang w:val="en-ID"/>
        </w:rPr>
      </w:pPr>
      <w:r w:rsidRPr="00BB38AD">
        <w:rPr>
          <w:lang w:val="en"/>
        </w:rPr>
        <w:t>Dye-sensitized solar cells (DSSC) have attracted attention as photovoltaic cells because of their relatively low synthesis costs, environmental friendliness, flexibility and tunability. Molecular sensitizers play a central role in DSSC by absorbing incoming photons and producing photoelectrons. Therefore, the development of sensitizers with suitable electronic structures and strong light absorption capabilities is an important aspect in the design of molecular photovoltaic devices. Metal-free organic sensitizers are of particular interest because their optoelectronic properties can be systematically tailored through molecular structural modification.</w:t>
      </w:r>
      <w:r w:rsidRPr="00BB38AD">
        <w:rPr>
          <w:lang w:val="en-ID"/>
        </w:rPr>
        <w:t xml:space="preserve"> </w:t>
      </w:r>
      <w:r w:rsidR="004A25CB" w:rsidRPr="00BB38AD">
        <w:rPr>
          <w:lang w:val="en-ID"/>
        </w:rPr>
        <w:t>[1,2]</w:t>
      </w:r>
      <w:r w:rsidR="00782234" w:rsidRPr="00BB38AD">
        <w:rPr>
          <w:lang w:val="en-ID"/>
        </w:rPr>
        <w:t>.</w:t>
      </w:r>
    </w:p>
    <w:p w14:paraId="28965304" w14:textId="121D126C" w:rsidR="00782234" w:rsidRPr="00BB38AD" w:rsidRDefault="00247F25" w:rsidP="00782234">
      <w:pPr>
        <w:widowControl w:val="0"/>
        <w:suppressAutoHyphens/>
        <w:rPr>
          <w:lang w:val="en-ID"/>
        </w:rPr>
      </w:pPr>
      <w:r w:rsidRPr="00BB38AD">
        <w:rPr>
          <w:lang w:val="en-ID"/>
        </w:rPr>
        <w:t xml:space="preserve">Natural chromophores provide an attractive initial basis for the development of sensitizers that are potentially sustainable and have structural flexibility. Among them, </w:t>
      </w:r>
      <w:r w:rsidRPr="00BB38AD">
        <w:rPr>
          <w:lang w:val="en-ID"/>
        </w:rPr>
        <w:lastRenderedPageBreak/>
        <w:t>flavonoids possess aromatic π systems and conjugated heterocycles capable of electronic excitation. Galangin is a natural dye that composed of conjugated aromatic rings and oxygen-based functional groups. Its optoelectronic properties, including electronic absorption, fluorescence, solvent effects, and proton transfer processes in the excited state, have been studied using both experimental and computational approaches. Pristine galangin absorbs light in the ultraviolet region, thus limiting its spectral coverage for sunlight harvesting applications</w:t>
      </w:r>
      <w:r w:rsidR="00AD760E" w:rsidRPr="00BB38AD">
        <w:rPr>
          <w:lang w:val="en-ID"/>
        </w:rPr>
        <w:t xml:space="preserve"> [3-7]</w:t>
      </w:r>
      <w:r w:rsidRPr="00BB38AD">
        <w:rPr>
          <w:lang w:val="en-ID"/>
        </w:rPr>
        <w:t xml:space="preserve">. Therefore, structural modification of the galangin framework is an attractive strategy to regulate its electronic and optical properties, thereby </w:t>
      </w:r>
      <w:r w:rsidR="00E749BD" w:rsidRPr="00BB38AD">
        <w:t>shifting its optical absorption toward longer wavelengths.</w:t>
      </w:r>
      <w:r w:rsidR="00105096" w:rsidRPr="00BB38AD">
        <w:rPr>
          <w:lang w:val="en-ID"/>
        </w:rPr>
        <w:t xml:space="preserve"> </w:t>
      </w:r>
    </w:p>
    <w:p w14:paraId="7FEC7E14" w14:textId="2F3D14D8" w:rsidR="00AD760E" w:rsidRPr="00BB38AD" w:rsidRDefault="00AD760E" w:rsidP="00AD760E">
      <w:pPr>
        <w:widowControl w:val="0"/>
        <w:suppressAutoHyphens/>
        <w:rPr>
          <w:lang w:val="en-ID"/>
        </w:rPr>
      </w:pPr>
      <w:r w:rsidRPr="00BB38AD">
        <w:rPr>
          <w:lang w:val="en-ID"/>
        </w:rPr>
        <w:t>A common molecular-design strategy for metal-free sensitizers is the chromophore–π-spacer–acceptor architecture, in which the π-spacer extends conjugation and electronically couples the chromophore with the terminal acceptor. Furan and thiophene are frequently used as π-spacers because their heteroatoms (O and S, respectively) differ in size and polarizability, allowing frontier orbital energies and optical transitions to be tuned [8, 9]. The terminal acceptor further stabilizes the unoccupied states and extends conjugation toward the molecular terminus. In this study, 4-ethynylbenzoic acid and ethyl cyanoacetate were selected as two electronically distinct acceptors: the former provides an extended ethynyl–phenyl conjugated pathway with a carboxylic acid group, while the latter offers strong electron-withdrawing carbonyl and cyano functionalities</w:t>
      </w:r>
      <w:r w:rsidR="00847E9F" w:rsidRPr="00BB38AD">
        <w:rPr>
          <w:lang w:val="en-ID"/>
        </w:rPr>
        <w:t xml:space="preserve"> [10-13]</w:t>
      </w:r>
      <w:r w:rsidRPr="00BB38AD">
        <w:rPr>
          <w:lang w:val="en-ID"/>
        </w:rPr>
        <w:t>.</w:t>
      </w:r>
      <w:r w:rsidR="000465F6" w:rsidRPr="00BB38AD">
        <w:t xml:space="preserve"> This comparison was used to examine how acceptor structure affects LUMO stabilization, energy gaps, and optical excitation.</w:t>
      </w:r>
      <w:r w:rsidR="00847E9F" w:rsidRPr="00BB38AD">
        <w:t xml:space="preserve"> </w:t>
      </w:r>
      <w:r w:rsidRPr="00BB38AD">
        <w:rPr>
          <w:lang w:val="en-ID"/>
        </w:rPr>
        <w:t>Although heteroaromatic spacers and electron-withdrawing acceptors have been widely studied in synthetic sensitizers, their systematic combination with a natural chromophore such as galangin remains unexplored</w:t>
      </w:r>
      <w:r w:rsidR="00847E9F" w:rsidRPr="00BB38AD">
        <w:rPr>
          <w:lang w:val="en-ID"/>
        </w:rPr>
        <w:t>.</w:t>
      </w:r>
    </w:p>
    <w:p w14:paraId="5AEDA4CE" w14:textId="77777777" w:rsidR="00AD760E" w:rsidRPr="00BB38AD" w:rsidRDefault="00AD760E" w:rsidP="00AD760E">
      <w:pPr>
        <w:widowControl w:val="0"/>
        <w:suppressAutoHyphens/>
        <w:rPr>
          <w:lang w:val="en-ID"/>
        </w:rPr>
      </w:pPr>
      <w:r w:rsidRPr="00BB38AD">
        <w:rPr>
          <w:lang w:val="en-ID"/>
        </w:rPr>
        <w:t>In this work, galangin was used as the parent chromophore to construct four derivatives via a 2 × 2 combination of π-spacer (furan, F; thiophene, T) and terminal acceptor (4-ethynylbenzoic acid, B; ethyl cyanoacetate, S), denoted GFB, GFS, GTB, and GTS. This design enables direct comparison between spacer substitution at fixed acceptor and acceptor substitution at fixed spacer. DFT and TD-DFT calculations were performed on galangin and its four derivatives, focusing on frontier orbital distributions, HOMO/LUMO energies, HOMO–LUMO gaps, lowest-energy excitations, oscillator strengths, and simulated UV–Vis spectra. The aim is to determine how spacer–acceptor combination regulates the optoelectronic response of the galangin framework and to identify configurations that favor lower-energy absorption or stronger optical transitions.</w:t>
      </w:r>
    </w:p>
    <w:p w14:paraId="63108794" w14:textId="0B740388" w:rsidR="00E774E8" w:rsidRPr="00BB38AD" w:rsidRDefault="00782234" w:rsidP="00782234">
      <w:pPr>
        <w:pStyle w:val="heading1"/>
      </w:pPr>
      <w:r w:rsidRPr="00BB38AD">
        <w:t>Computational Method</w:t>
      </w:r>
    </w:p>
    <w:p w14:paraId="46A992FD" w14:textId="400FEAD2" w:rsidR="00BA03B4" w:rsidRPr="00BB38AD" w:rsidRDefault="00BA03B4" w:rsidP="00BA03B4">
      <w:pPr>
        <w:pStyle w:val="heading2"/>
        <w:spacing w:before="0"/>
      </w:pPr>
      <w:r w:rsidRPr="00BB38AD">
        <w:rPr>
          <w:bCs/>
          <w:lang w:val="en-ID"/>
        </w:rPr>
        <w:t>Molecular Design and Ground-State Calculations</w:t>
      </w:r>
    </w:p>
    <w:p w14:paraId="0481082F" w14:textId="4FE46D2B" w:rsidR="00782234" w:rsidRPr="00BB38AD" w:rsidRDefault="00782234" w:rsidP="00BA03B4">
      <w:pPr>
        <w:pStyle w:val="p1a"/>
      </w:pPr>
      <w:r w:rsidRPr="00BB38AD">
        <w:t>All quantum-chemical calculations were performed using the ORCA</w:t>
      </w:r>
      <w:r w:rsidR="00401620" w:rsidRPr="00BB38AD">
        <w:t xml:space="preserve"> [14]</w:t>
      </w:r>
      <w:r w:rsidRPr="00BB38AD">
        <w:t xml:space="preserve"> quantum chemi</w:t>
      </w:r>
      <w:r w:rsidR="00B06089" w:rsidRPr="00BB38AD">
        <w:t>s</w:t>
      </w:r>
      <w:r w:rsidRPr="00BB38AD">
        <w:t xml:space="preserve">try package. Galangin (G) was employed as the parent chromophore, and four derivatives were constructed by systematically combining two π-conjugated spacers, furan (F) and thiophene (T), with two terminal acceptor units, 4-ethynylbenzoic acid (B) and ethyl cyanoacetate (S). The resulting molecular systems were denoted GFB, </w:t>
      </w:r>
      <w:r w:rsidRPr="00BB38AD">
        <w:lastRenderedPageBreak/>
        <w:t>GFS, GTB, and GTS. This 2 × 2 molecular design allowed the effects of the π-spacer and terminal acceptor on the electronic and optical properties of the galangin framework to be directly compared.</w:t>
      </w:r>
    </w:p>
    <w:p w14:paraId="6523B396" w14:textId="7D873D1A" w:rsidR="00782234" w:rsidRPr="00BB38AD" w:rsidRDefault="00782234" w:rsidP="00BA03B4">
      <w:pPr>
        <w:pStyle w:val="p1a"/>
        <w:ind w:firstLine="227"/>
      </w:pPr>
      <w:r w:rsidRPr="00BB38AD">
        <w:t>The ground-state geometries of G and all modified structures were fully optimized using density functional theory (DFT)</w:t>
      </w:r>
      <w:r w:rsidR="00401620" w:rsidRPr="00BB38AD">
        <w:t xml:space="preserve"> </w:t>
      </w:r>
      <w:r w:rsidR="00B06089" w:rsidRPr="00BB38AD">
        <w:t>[1</w:t>
      </w:r>
      <w:r w:rsidR="00401620" w:rsidRPr="00BB38AD">
        <w:t>5</w:t>
      </w:r>
      <w:r w:rsidR="00B06089" w:rsidRPr="00BB38AD">
        <w:t>]</w:t>
      </w:r>
      <w:r w:rsidRPr="00BB38AD">
        <w:t xml:space="preserve"> at the B3LYP/def2-SVP </w:t>
      </w:r>
      <w:r w:rsidR="00D53FEB" w:rsidRPr="00BB38AD">
        <w:t>[1</w:t>
      </w:r>
      <w:r w:rsidR="00401620" w:rsidRPr="00BB38AD">
        <w:t>6</w:t>
      </w:r>
      <w:r w:rsidR="00D53FEB" w:rsidRPr="00BB38AD">
        <w:t>,1</w:t>
      </w:r>
      <w:r w:rsidR="00401620" w:rsidRPr="00BB38AD">
        <w:t>7</w:t>
      </w:r>
      <w:r w:rsidR="00D53FEB" w:rsidRPr="00BB38AD">
        <w:t xml:space="preserve">] </w:t>
      </w:r>
      <w:r w:rsidRPr="00BB38AD">
        <w:t>level of theory. The D</w:t>
      </w:r>
      <w:r w:rsidR="00B06089" w:rsidRPr="00BB38AD">
        <w:t>4</w:t>
      </w:r>
      <w:r w:rsidRPr="00BB38AD">
        <w:t xml:space="preserve"> dispersion correction</w:t>
      </w:r>
      <w:r w:rsidR="00D53FEB" w:rsidRPr="00BB38AD">
        <w:t xml:space="preserve"> [1</w:t>
      </w:r>
      <w:r w:rsidR="00401620" w:rsidRPr="00BB38AD">
        <w:t>8</w:t>
      </w:r>
      <w:r w:rsidR="00D53FEB" w:rsidRPr="00BB38AD">
        <w:t>]</w:t>
      </w:r>
      <w:r w:rsidRPr="00BB38AD">
        <w:t xml:space="preserve"> was included to provide an improved description of intramolecular noncovalent interactions. The RIJCOSX</w:t>
      </w:r>
      <w:r w:rsidR="006F6B66" w:rsidRPr="00BB38AD">
        <w:t xml:space="preserve"> [1</w:t>
      </w:r>
      <w:r w:rsidR="006E19C0" w:rsidRPr="00BB38AD">
        <w:t>9</w:t>
      </w:r>
      <w:r w:rsidR="006F6B66" w:rsidRPr="00BB38AD">
        <w:t>]</w:t>
      </w:r>
      <w:r w:rsidRPr="00BB38AD">
        <w:t xml:space="preserve"> approximation was employed to reduce the computational cost of the hybrid DFT calculations.</w:t>
      </w:r>
    </w:p>
    <w:p w14:paraId="22C4D8CD" w14:textId="5449A9F1" w:rsidR="00E949C2" w:rsidRPr="00BB38AD" w:rsidRDefault="00E949C2" w:rsidP="00E949C2">
      <w:r w:rsidRPr="00BB38AD">
        <w:t>The def2-SVP basis set was considered appropriate for the present systems, which are composed predominantly of light main-group elements (C, H, N, O, and S), while providing a reasonable balance between computational accuracy and cost. Moreover, def2-SVP includes polarization functions and is suitable for geometry optimization and comparative electronic-structure analysis.</w:t>
      </w:r>
    </w:p>
    <w:p w14:paraId="25AD6A65" w14:textId="77777777" w:rsidR="00782234" w:rsidRPr="00BB38AD" w:rsidRDefault="00782234" w:rsidP="00BA03B4">
      <w:pPr>
        <w:pStyle w:val="p1a"/>
        <w:ind w:firstLine="227"/>
      </w:pPr>
      <w:r w:rsidRPr="00BB38AD">
        <w:t>The optimized molecular structures were subsequently used for frontier molecular orbital analysis. The energies of the highest occupied molecular orbital (HOMO) and lowest unoccupied molecular orbital (LUMO) were extracted, and the corresponding frontier orbital energy gap was calculated according to</w:t>
      </w:r>
    </w:p>
    <w:p w14:paraId="54121058" w14:textId="77777777" w:rsidR="00B06089" w:rsidRPr="00BB38AD" w:rsidRDefault="00B06089" w:rsidP="00B06089"/>
    <w:p w14:paraId="08D7638F" w14:textId="4BCC9538" w:rsidR="00782234" w:rsidRPr="00BB38AD" w:rsidRDefault="00B27BF5" w:rsidP="00B06089">
      <w:pPr>
        <w:pStyle w:val="p1a"/>
        <w:jc w:val="right"/>
      </w:pPr>
      <m:oMath>
        <m:r>
          <m:rPr>
            <m:sty m:val="p"/>
          </m:rPr>
          <w:rPr>
            <w:rFonts w:ascii="Cambria Math" w:hAnsi="Cambria Math"/>
          </w:rPr>
          <m:t>Δ</m:t>
        </m:r>
        <m:sSub>
          <m:sSubPr>
            <m:ctrlPr>
              <w:rPr>
                <w:rFonts w:ascii="Cambria Math" w:hAnsi="Cambria Math"/>
              </w:rPr>
            </m:ctrlPr>
          </m:sSubPr>
          <m:e>
            <m:r>
              <w:rPr>
                <w:rFonts w:ascii="Cambria Math" w:hAnsi="Cambria Math"/>
              </w:rPr>
              <m:t>E</m:t>
            </m:r>
          </m:e>
          <m:sub>
            <m:r>
              <m:rPr>
                <m:sty m:val="p"/>
              </m:rPr>
              <w:rPr>
                <w:rFonts w:ascii="Cambria Math" w:hAnsi="Cambria Math"/>
              </w:rPr>
              <m:t>HL</m:t>
            </m:r>
          </m:sub>
        </m:sSub>
        <m:r>
          <m:rPr>
            <m:sty m:val="p"/>
          </m:rPr>
          <w:rPr>
            <w:rFonts w:ascii="Cambria Math" w:hAnsi="Cambria Math"/>
          </w:rPr>
          <m:t>=</m:t>
        </m:r>
        <m:sSub>
          <m:sSubPr>
            <m:ctrlPr>
              <w:rPr>
                <w:rFonts w:ascii="Cambria Math" w:hAnsi="Cambria Math"/>
              </w:rPr>
            </m:ctrlPr>
          </m:sSubPr>
          <m:e>
            <m:r>
              <w:rPr>
                <w:rFonts w:ascii="Cambria Math" w:hAnsi="Cambria Math"/>
              </w:rPr>
              <m:t>E</m:t>
            </m:r>
          </m:e>
          <m:sub>
            <m:r>
              <m:rPr>
                <m:sty m:val="p"/>
              </m:rPr>
              <w:rPr>
                <w:rFonts w:ascii="Cambria Math" w:hAnsi="Cambria Math"/>
              </w:rPr>
              <m:t>LUMO</m:t>
            </m:r>
          </m:sub>
        </m:sSub>
        <m:r>
          <m:rPr>
            <m:sty m:val="p"/>
          </m:rPr>
          <w:rPr>
            <w:rFonts w:ascii="Cambria Math" w:hAnsi="Cambria Math"/>
          </w:rPr>
          <m:t>-</m:t>
        </m:r>
        <m:sSub>
          <m:sSubPr>
            <m:ctrlPr>
              <w:rPr>
                <w:rFonts w:ascii="Cambria Math" w:hAnsi="Cambria Math"/>
              </w:rPr>
            </m:ctrlPr>
          </m:sSubPr>
          <m:e>
            <m:r>
              <w:rPr>
                <w:rFonts w:ascii="Cambria Math" w:hAnsi="Cambria Math"/>
              </w:rPr>
              <m:t>E</m:t>
            </m:r>
          </m:e>
          <m:sub>
            <m:r>
              <m:rPr>
                <m:sty m:val="p"/>
              </m:rPr>
              <w:rPr>
                <w:rFonts w:ascii="Cambria Math" w:hAnsi="Cambria Math"/>
              </w:rPr>
              <m:t>HOMO</m:t>
            </m:r>
          </m:sub>
        </m:sSub>
      </m:oMath>
      <w:r w:rsidR="00B06089" w:rsidRPr="00BB38AD">
        <w:tab/>
      </w:r>
      <w:r w:rsidR="00B06089" w:rsidRPr="00BB38AD">
        <w:tab/>
        <w:t xml:space="preserve">                                         (1)</w:t>
      </w:r>
    </w:p>
    <w:p w14:paraId="23912930" w14:textId="77777777" w:rsidR="00B06089" w:rsidRPr="00BB38AD" w:rsidRDefault="00B06089" w:rsidP="00B06089"/>
    <w:p w14:paraId="4A1327A3" w14:textId="6D68656D" w:rsidR="00782234" w:rsidRPr="00BB38AD" w:rsidRDefault="00782234" w:rsidP="00BA03B4">
      <w:pPr>
        <w:pStyle w:val="p1a"/>
      </w:pPr>
      <w:r w:rsidRPr="00BB38AD">
        <w:t xml:space="preserve">where </w:t>
      </w:r>
      <m:oMath>
        <m:sSub>
          <m:sSubPr>
            <m:ctrlPr>
              <w:rPr>
                <w:rFonts w:ascii="Cambria Math" w:hAnsi="Cambria Math"/>
              </w:rPr>
            </m:ctrlPr>
          </m:sSubPr>
          <m:e>
            <m:r>
              <w:rPr>
                <w:rFonts w:ascii="Cambria Math" w:hAnsi="Cambria Math"/>
              </w:rPr>
              <m:t>E</m:t>
            </m:r>
          </m:e>
          <m:sub>
            <m:r>
              <m:rPr>
                <m:sty m:val="p"/>
              </m:rPr>
              <w:rPr>
                <w:rFonts w:ascii="Cambria Math" w:hAnsi="Cambria Math"/>
              </w:rPr>
              <m:t>HOMO</m:t>
            </m:r>
          </m:sub>
        </m:sSub>
      </m:oMath>
      <w:r w:rsidRPr="00BB38AD">
        <w:t xml:space="preserve">and </w:t>
      </w:r>
      <m:oMath>
        <m:sSub>
          <m:sSubPr>
            <m:ctrlPr>
              <w:rPr>
                <w:rFonts w:ascii="Cambria Math" w:hAnsi="Cambria Math"/>
              </w:rPr>
            </m:ctrlPr>
          </m:sSubPr>
          <m:e>
            <m:r>
              <w:rPr>
                <w:rFonts w:ascii="Cambria Math" w:hAnsi="Cambria Math"/>
              </w:rPr>
              <m:t>E</m:t>
            </m:r>
          </m:e>
          <m:sub>
            <m:r>
              <m:rPr>
                <m:sty m:val="p"/>
              </m:rPr>
              <w:rPr>
                <w:rFonts w:ascii="Cambria Math" w:hAnsi="Cambria Math"/>
              </w:rPr>
              <m:t>LUMO</m:t>
            </m:r>
          </m:sub>
        </m:sSub>
      </m:oMath>
      <w:r w:rsidRPr="00BB38AD">
        <w:t>denote the HOMO and LUMO energies, respectively.</w:t>
      </w:r>
    </w:p>
    <w:p w14:paraId="5BE46504" w14:textId="7942A28B" w:rsidR="00782234" w:rsidRPr="00BB38AD" w:rsidRDefault="00782234" w:rsidP="00503DBC">
      <w:pPr>
        <w:pStyle w:val="heading2"/>
        <w:rPr>
          <w:bCs/>
          <w:lang w:val="en-ID"/>
        </w:rPr>
      </w:pPr>
      <w:r w:rsidRPr="00BB38AD">
        <w:rPr>
          <w:bCs/>
          <w:lang w:val="en-ID"/>
        </w:rPr>
        <w:t>Excited-State TD-DFT Calculations</w:t>
      </w:r>
    </w:p>
    <w:p w14:paraId="64042B42" w14:textId="3F3458AF" w:rsidR="00782234" w:rsidRPr="00BB38AD" w:rsidRDefault="00782234" w:rsidP="00503DBC">
      <w:pPr>
        <w:pStyle w:val="p1a"/>
      </w:pPr>
      <w:r w:rsidRPr="00BB38AD">
        <w:t>The electronic excitation properties were investigated using time-dependent density functional theory (TD-DFT)</w:t>
      </w:r>
      <w:r w:rsidR="00D53FEB" w:rsidRPr="00BB38AD">
        <w:t xml:space="preserve"> [</w:t>
      </w:r>
      <w:r w:rsidR="006F6B66" w:rsidRPr="00BB38AD">
        <w:t>20</w:t>
      </w:r>
      <w:r w:rsidR="00D53FEB" w:rsidRPr="00BB38AD">
        <w:t>]</w:t>
      </w:r>
      <w:r w:rsidRPr="00BB38AD">
        <w:t xml:space="preserve">. </w:t>
      </w:r>
      <w:r w:rsidR="00AE7239" w:rsidRPr="00BB38AD">
        <w:t>Excitation energies were calculated using the long-range-corrected CAM-B3LYP functional [21] with the def2-SVP basis set, including the lowest 100 excited-state roots to provide sufficient coverage of the simulated UV–Vis spectra.</w:t>
      </w:r>
      <w:r w:rsidRPr="00BB38AD">
        <w:t xml:space="preserve"> The CAM-B3LYP functional was selected because its long-range exchange treatment provides an improved description of electronic excitations in extended conjugated organic systems compared with conventional hybrid functionals</w:t>
      </w:r>
      <w:r w:rsidR="00063FA4" w:rsidRPr="00BB38AD">
        <w:t xml:space="preserve">. </w:t>
      </w:r>
    </w:p>
    <w:p w14:paraId="55F269E0" w14:textId="77777777" w:rsidR="00063FA4" w:rsidRPr="00BB38AD" w:rsidRDefault="00782234" w:rsidP="00063FA4">
      <w:pPr>
        <w:pStyle w:val="p1a"/>
        <w:ind w:firstLine="227"/>
      </w:pPr>
      <w:r w:rsidRPr="00BB38AD">
        <w:t>Solvent effects corresponding to ethanol were included using an implicit solvation treatment based on the CPCM approach</w:t>
      </w:r>
      <w:r w:rsidR="0046017A" w:rsidRPr="00BB38AD">
        <w:t xml:space="preserve"> [2</w:t>
      </w:r>
      <w:r w:rsidR="006F6B66" w:rsidRPr="00BB38AD">
        <w:t>2</w:t>
      </w:r>
      <w:r w:rsidR="0046017A" w:rsidRPr="00BB38AD">
        <w:t>]</w:t>
      </w:r>
      <w:r w:rsidRPr="00BB38AD">
        <w:t xml:space="preserve">. For each relevant electronic excitation, the excitation energy </w:t>
      </w:r>
      <m:oMath>
        <m:sSub>
          <m:sSubPr>
            <m:ctrlPr>
              <w:rPr>
                <w:rFonts w:ascii="Cambria Math" w:hAnsi="Cambria Math"/>
              </w:rPr>
            </m:ctrlPr>
          </m:sSubPr>
          <m:e>
            <m:r>
              <w:rPr>
                <w:rFonts w:ascii="Cambria Math" w:hAnsi="Cambria Math"/>
              </w:rPr>
              <m:t>E</m:t>
            </m:r>
          </m:e>
          <m:sub>
            <m:r>
              <m:rPr>
                <m:sty m:val="p"/>
              </m:rPr>
              <w:rPr>
                <w:rFonts w:ascii="Cambria Math" w:hAnsi="Cambria Math"/>
              </w:rPr>
              <m:t>exc</m:t>
            </m:r>
          </m:sub>
        </m:sSub>
      </m:oMath>
      <w:r w:rsidRPr="00BB38AD">
        <w:t xml:space="preserve">, absorption wavelength </w:t>
      </w:r>
      <m:oMath>
        <m:r>
          <w:rPr>
            <w:rFonts w:ascii="Cambria Math" w:hAnsi="Cambria Math"/>
          </w:rPr>
          <m:t>λ</m:t>
        </m:r>
      </m:oMath>
      <w:r w:rsidRPr="00BB38AD">
        <w:t xml:space="preserve">, oscillator strength </w:t>
      </w:r>
      <m:oMath>
        <m:r>
          <w:rPr>
            <w:rFonts w:ascii="Cambria Math" w:hAnsi="Cambria Math"/>
          </w:rPr>
          <m:t>f</m:t>
        </m:r>
      </m:oMath>
      <w:r w:rsidRPr="00BB38AD">
        <w:t>, and dominant molecular-orbital contributions were extracted from the TD-DFT results.</w:t>
      </w:r>
      <w:r w:rsidR="00063FA4" w:rsidRPr="00BB38AD">
        <w:t xml:space="preserve"> The calculated vertical electronic transitions were used to construct simulated UV–Vis absorption spectra for G, GFB, GFS, GTB, and GTS. The discrete TD-DFT transitions were broadened to obtain continuous absorption profiles. </w:t>
      </w:r>
    </w:p>
    <w:p w14:paraId="7E7555CE" w14:textId="77777777" w:rsidR="00782234" w:rsidRPr="00BB38AD" w:rsidRDefault="00782234" w:rsidP="00063FA4">
      <w:pPr>
        <w:pStyle w:val="p1a"/>
        <w:ind w:firstLine="227"/>
      </w:pPr>
      <w:r w:rsidRPr="00BB38AD">
        <w:t>The theoretical light-harvesting efficiency (LHE) associated with each electronic transition was estimated from the corresponding oscillator strength using</w:t>
      </w:r>
    </w:p>
    <w:p w14:paraId="533F4D1F" w14:textId="77777777" w:rsidR="00B06089" w:rsidRPr="00BB38AD" w:rsidRDefault="00B06089" w:rsidP="00B06089"/>
    <w:p w14:paraId="7669B09A" w14:textId="0B87E2B4" w:rsidR="00782234" w:rsidRPr="00BB38AD" w:rsidRDefault="00B27BF5" w:rsidP="00B06089">
      <w:pPr>
        <w:pStyle w:val="p1a"/>
        <w:jc w:val="right"/>
      </w:pPr>
      <m:oMath>
        <m:r>
          <m:rPr>
            <m:sty m:val="p"/>
          </m:rPr>
          <w:rPr>
            <w:rFonts w:ascii="Cambria Math" w:hAnsi="Cambria Math"/>
          </w:rPr>
          <m:t>LHE=1-</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m:t>
            </m:r>
            <m:r>
              <w:rPr>
                <w:rFonts w:ascii="Cambria Math" w:hAnsi="Cambria Math"/>
              </w:rPr>
              <m:t>f</m:t>
            </m:r>
          </m:sup>
        </m:sSup>
      </m:oMath>
      <w:r w:rsidR="00B06089" w:rsidRPr="00BB38AD">
        <w:t xml:space="preserve">                                                     (2)</w:t>
      </w:r>
    </w:p>
    <w:p w14:paraId="7BCE8A7F" w14:textId="77777777" w:rsidR="00B06089" w:rsidRPr="00BB38AD" w:rsidRDefault="00B06089" w:rsidP="00B06089"/>
    <w:p w14:paraId="4FA8EC05" w14:textId="69788029" w:rsidR="00782234" w:rsidRPr="00BB38AD" w:rsidRDefault="00782234" w:rsidP="00BA03B4">
      <w:pPr>
        <w:pStyle w:val="p1a"/>
      </w:pPr>
      <w:r w:rsidRPr="00BB38AD">
        <w:t xml:space="preserve">where </w:t>
      </w:r>
      <m:oMath>
        <m:r>
          <w:rPr>
            <w:rFonts w:ascii="Cambria Math" w:hAnsi="Cambria Math"/>
          </w:rPr>
          <m:t>f</m:t>
        </m:r>
      </m:oMath>
      <w:r w:rsidRPr="00BB38AD">
        <w:t>is the calculated oscillator strength. Higher oscillator strengths therefore correspond to larger theoretical LHE values and indicate stronger optical transitions.</w:t>
      </w:r>
    </w:p>
    <w:p w14:paraId="2CCA891D" w14:textId="77777777" w:rsidR="00503DBC" w:rsidRPr="00BB38AD" w:rsidRDefault="00503DBC" w:rsidP="00503DBC"/>
    <w:p w14:paraId="4B648BC9" w14:textId="0FA1A669" w:rsidR="00782234" w:rsidRPr="00BB38AD" w:rsidRDefault="00782234" w:rsidP="00BA03B4">
      <w:pPr>
        <w:pStyle w:val="heading2"/>
        <w:spacing w:before="0"/>
        <w:rPr>
          <w:bCs/>
          <w:lang w:val="en-ID"/>
        </w:rPr>
      </w:pPr>
      <w:r w:rsidRPr="00BB38AD">
        <w:rPr>
          <w:bCs/>
          <w:lang w:val="en-ID"/>
        </w:rPr>
        <w:t>Comparative Analysis of Spacer and Acceptor Effects</w:t>
      </w:r>
    </w:p>
    <w:p w14:paraId="6B5388F1" w14:textId="77777777" w:rsidR="00782234" w:rsidRPr="00BB38AD" w:rsidRDefault="00782234" w:rsidP="00BA03B4">
      <w:pPr>
        <w:pStyle w:val="p1a"/>
      </w:pPr>
      <w:r w:rsidRPr="00BB38AD">
        <w:t>The effects of molecular modification were evaluated through systematic pairwise comparisons. The influence of the π-spacer was determined by comparing GFB with GTB and GFS with GTS, whereas the influence of the terminal acceptor was evaluated by comparing GFB with GFS and GTB with GTS. Pristine galangin was used as the reference structure to quantify the overall changes induced by π-spacer–acceptor functionalization.</w:t>
      </w:r>
    </w:p>
    <w:p w14:paraId="7EB9671B" w14:textId="77777777" w:rsidR="00782234" w:rsidRPr="00BB38AD" w:rsidRDefault="00782234" w:rsidP="00503DBC">
      <w:pPr>
        <w:pStyle w:val="p1a"/>
        <w:ind w:firstLine="227"/>
      </w:pPr>
      <w:r w:rsidRPr="00BB38AD">
        <w:t>The combined analysis of optimized structures, frontier molecular orbital energies, HOMO–LUMO gaps, TD-DFT excitation energies, oscillator strengths, and simulated UV–Vis spectra was used to establish the relationship between molecular modification and the resulting optoelectronic properties of the galangin-based sensitizers.</w:t>
      </w:r>
    </w:p>
    <w:p w14:paraId="794925B9" w14:textId="3ABA38F2" w:rsidR="00BA03B4" w:rsidRPr="00BB38AD" w:rsidRDefault="00503DBC" w:rsidP="00503DBC">
      <w:pPr>
        <w:pStyle w:val="heading1"/>
      </w:pPr>
      <w:r w:rsidRPr="00BB38AD">
        <w:t>Results and Discussion</w:t>
      </w:r>
    </w:p>
    <w:p w14:paraId="3674EF92" w14:textId="77777777" w:rsidR="001830DE" w:rsidRPr="00BB38AD" w:rsidRDefault="001830DE" w:rsidP="001830DE">
      <w:pPr>
        <w:spacing w:after="240"/>
        <w:ind w:firstLine="0"/>
        <w:rPr>
          <w:b/>
          <w:bCs/>
          <w:lang w:val="en-ID"/>
        </w:rPr>
      </w:pPr>
      <w:r w:rsidRPr="00BB38AD">
        <w:rPr>
          <w:b/>
          <w:bCs/>
          <w:lang w:val="en-ID"/>
        </w:rPr>
        <w:t>3.1. Molecular Structures and Frontier Molecular Orbital Distribution</w:t>
      </w:r>
    </w:p>
    <w:p w14:paraId="3F1773CE" w14:textId="4B5AE6B8" w:rsidR="001830DE" w:rsidRPr="00BB38AD" w:rsidRDefault="001830DE" w:rsidP="001830DE">
      <w:pPr>
        <w:ind w:firstLine="0"/>
        <w:rPr>
          <w:lang w:val="en-ID"/>
        </w:rPr>
      </w:pPr>
      <w:r w:rsidRPr="00BB38AD">
        <w:rPr>
          <w:lang w:val="en-ID"/>
        </w:rPr>
        <w:t>The molecular building blocks employed in the present sensitizer design are shown in Fig 1. Galangin (G) was used as the parent chromophore, while furan (F) and thiophene (T) were introduced as π-spacers. Two electron-accepting terminal groups, 4-ethynylbenzoic acid (B) and ethyl cyanoacetate (S), were subsequently attached to construct four modified sensitizers, namely GFB, GFS, GTB, and GTS. This molecular design extends the conjugated framework of pristine galangin and introduces an electron-accepting region at the terminal part of the molecule.</w:t>
      </w:r>
    </w:p>
    <w:p w14:paraId="707F058C" w14:textId="77777777" w:rsidR="001830DE" w:rsidRPr="00BB38AD" w:rsidRDefault="001830DE" w:rsidP="001830DE">
      <w:pPr>
        <w:pStyle w:val="p1a"/>
        <w:jc w:val="center"/>
      </w:pPr>
      <w:r w:rsidRPr="00BB38AD">
        <w:rPr>
          <w:noProof/>
        </w:rPr>
        <w:drawing>
          <wp:inline distT="0" distB="0" distL="0" distR="0" wp14:anchorId="572692C8" wp14:editId="7DD9F0A6">
            <wp:extent cx="2882847" cy="2244437"/>
            <wp:effectExtent l="0" t="0" r="0" b="3810"/>
            <wp:docPr id="700296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296838" name=""/>
                    <pic:cNvPicPr/>
                  </pic:nvPicPr>
                  <pic:blipFill>
                    <a:blip r:embed="rId9"/>
                    <a:stretch>
                      <a:fillRect/>
                    </a:stretch>
                  </pic:blipFill>
                  <pic:spPr>
                    <a:xfrm>
                      <a:off x="0" y="0"/>
                      <a:ext cx="2897356" cy="2255733"/>
                    </a:xfrm>
                    <a:prstGeom prst="rect">
                      <a:avLst/>
                    </a:prstGeom>
                  </pic:spPr>
                </pic:pic>
              </a:graphicData>
            </a:graphic>
          </wp:inline>
        </w:drawing>
      </w:r>
    </w:p>
    <w:p w14:paraId="5404CC83" w14:textId="3F30C8C8" w:rsidR="001830DE" w:rsidRPr="00BB38AD" w:rsidRDefault="001830DE" w:rsidP="001830DE">
      <w:pPr>
        <w:ind w:firstLine="0"/>
      </w:pPr>
      <w:r w:rsidRPr="00BB38AD">
        <w:t>Fig 1. Molecular structures of the building blocks used to construct the galangin-based sensitizers: (a) galangin (G), (b) furan (F), (c) thiophene (T), (d) 4-ethynylbenzoic acid (B), and (e) ethyl cyanoacetate (S).</w:t>
      </w:r>
    </w:p>
    <w:p w14:paraId="7026B144" w14:textId="5FDF6F0B" w:rsidR="00063FA4" w:rsidRPr="00BB38AD" w:rsidRDefault="00063FA4" w:rsidP="00063FA4">
      <w:pPr>
        <w:rPr>
          <w:lang w:val="en-ID"/>
        </w:rPr>
      </w:pPr>
      <w:r w:rsidRPr="00BB38AD">
        <w:rPr>
          <w:lang w:val="en-ID"/>
        </w:rPr>
        <w:t xml:space="preserve">The optimized structures of the four designed sensitizers are shown in Fig 2. The introduction of either furan or thiophene establishes an extended π-conjugated pathway </w:t>
      </w:r>
      <w:r w:rsidRPr="00BB38AD">
        <w:rPr>
          <w:lang w:val="en-ID"/>
        </w:rPr>
        <w:lastRenderedPageBreak/>
        <w:t>between the galangin moiety and the terminal acceptor. Although complete coplanarity is not achieved throughout the entire molecular framework, the conjugated linkages provide an electronic pathway that facilitates redistribution of the π-electron density upon excitation. The different heteroatoms of the π-spacers (O in furan and S in thiophene), together with the different terminal acceptors, are thus expected to influence both the frontier orbital distribution and the electronic excitation energies.</w:t>
      </w:r>
    </w:p>
    <w:p w14:paraId="446D9D43" w14:textId="77777777" w:rsidR="00F57114" w:rsidRPr="00BB38AD" w:rsidRDefault="00F57114" w:rsidP="00F57114">
      <w:pPr>
        <w:ind w:firstLine="0"/>
        <w:jc w:val="center"/>
        <w:rPr>
          <w:lang w:val="en-ID"/>
        </w:rPr>
      </w:pPr>
      <w:r w:rsidRPr="00BB38AD">
        <w:rPr>
          <w:noProof/>
          <w:lang w:val="en-ID"/>
        </w:rPr>
        <w:drawing>
          <wp:inline distT="0" distB="0" distL="0" distR="0" wp14:anchorId="24D0B162" wp14:editId="34F6A606">
            <wp:extent cx="2729346" cy="2819692"/>
            <wp:effectExtent l="0" t="0" r="0" b="0"/>
            <wp:docPr id="930698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698499" name=""/>
                    <pic:cNvPicPr/>
                  </pic:nvPicPr>
                  <pic:blipFill>
                    <a:blip r:embed="rId10"/>
                    <a:stretch>
                      <a:fillRect/>
                    </a:stretch>
                  </pic:blipFill>
                  <pic:spPr>
                    <a:xfrm>
                      <a:off x="0" y="0"/>
                      <a:ext cx="2761586" cy="2852999"/>
                    </a:xfrm>
                    <a:prstGeom prst="rect">
                      <a:avLst/>
                    </a:prstGeom>
                  </pic:spPr>
                </pic:pic>
              </a:graphicData>
            </a:graphic>
          </wp:inline>
        </w:drawing>
      </w:r>
    </w:p>
    <w:p w14:paraId="45664E53" w14:textId="77777777" w:rsidR="00063FA4" w:rsidRPr="00BB38AD" w:rsidRDefault="00063FA4" w:rsidP="00F57114">
      <w:pPr>
        <w:ind w:firstLine="0"/>
        <w:jc w:val="center"/>
        <w:rPr>
          <w:lang w:val="en-ID"/>
        </w:rPr>
      </w:pPr>
    </w:p>
    <w:p w14:paraId="3C36FE90" w14:textId="3A92CF01" w:rsidR="00F57114" w:rsidRPr="00BB38AD" w:rsidRDefault="00F57114" w:rsidP="00F57114">
      <w:pPr>
        <w:ind w:firstLine="0"/>
        <w:jc w:val="left"/>
      </w:pPr>
      <w:r w:rsidRPr="00BB38AD">
        <w:t>Fig 2. Optimized molecular structures of the designed galangin-based sensitizers: (a) GFB, (b) GFS, (c) GTB, and (d) GTS. The structures were constructed by combining galangin (G) with furan (F) or thiophene (T) as the π-spacer and 4-ethynylbenzoic acid (B) or ethyl cyanoacetate (S) as the terminal acceptor unit.</w:t>
      </w:r>
    </w:p>
    <w:p w14:paraId="5BAB31C0" w14:textId="77777777" w:rsidR="006E590A" w:rsidRPr="00BB38AD" w:rsidRDefault="006E590A" w:rsidP="00F57114">
      <w:pPr>
        <w:ind w:firstLine="0"/>
        <w:jc w:val="left"/>
      </w:pPr>
    </w:p>
    <w:p w14:paraId="716DC083" w14:textId="5B1F59BC" w:rsidR="00017B50" w:rsidRPr="00BB38AD" w:rsidRDefault="00017B50" w:rsidP="00017B50">
      <w:pPr>
        <w:ind w:firstLine="0"/>
      </w:pPr>
      <w:r w:rsidRPr="00BB38AD">
        <w:t xml:space="preserve">The optimized structures exhibit different degrees of torsional distortion at the galangin–π-spacer and π-spacer–acceptor junctions (Table 1). The galangin–spacer dihedral angles are 136.6°, −104.4°, 143.6°, and −105.2° for GFB, GFS, GTB, and GTS, corresponding to deviations from planarity of 43.4°, 75.6°, 36.4°, and 74.8°, respectively. In contrast, the spacer–acceptor junctions are generally more planar, particularly for GFS (176.4°) and GTS (179.9°), with deviations of only 3.6° and 0.1°, respectively. These results indicate that the major conformational distortion occurs mainly at the galangin–spacer junction, especially in the S-containing derivatives GFS and GTS. Such torsional distortion can reduce π-orbital overlap between adjacent fragments and partially disrupt effective conjugation. </w:t>
      </w:r>
      <w:r w:rsidR="00561E39" w:rsidRPr="00BB38AD">
        <w:t>However</w:t>
      </w:r>
      <w:r w:rsidRPr="00BB38AD">
        <w:t>, the FMO distributions in Fig. 3 show that electronic co</w:t>
      </w:r>
      <w:r w:rsidR="00561E39" w:rsidRPr="00BB38AD">
        <w:t>upling</w:t>
      </w:r>
      <w:r w:rsidRPr="00BB38AD">
        <w:t xml:space="preserve"> between the molecular fragments is retained, indicating that the optoelectronic response is governed by the combined effects of molecular conformation and the electronic nature of the spacer–acceptor units.</w:t>
      </w:r>
    </w:p>
    <w:p w14:paraId="7AF0281E" w14:textId="77777777" w:rsidR="00561E39" w:rsidRPr="00BB38AD" w:rsidRDefault="00561E39" w:rsidP="00017B50">
      <w:pPr>
        <w:ind w:firstLine="0"/>
      </w:pPr>
    </w:p>
    <w:p w14:paraId="4F07ADF6" w14:textId="635C24D7" w:rsidR="006E590A" w:rsidRPr="00BB38AD" w:rsidRDefault="006E590A" w:rsidP="00F57114">
      <w:pPr>
        <w:ind w:firstLine="0"/>
        <w:jc w:val="left"/>
      </w:pPr>
      <w:r w:rsidRPr="00BB38AD">
        <w:lastRenderedPageBreak/>
        <w:t xml:space="preserve">Table 1. </w:t>
      </w:r>
      <w:r w:rsidR="00DD5B70" w:rsidRPr="00BB38AD">
        <w:t>I</w:t>
      </w:r>
      <w:r w:rsidRPr="00BB38AD">
        <w:t>nterfragment dihedral angles (</w:t>
      </w:r>
      <w:r w:rsidRPr="00BB38AD">
        <w:sym w:font="Symbol" w:char="F071"/>
      </w:r>
      <w:r w:rsidRPr="00BB38AD">
        <w:t>) and deviations from planarity (</w:t>
      </w:r>
      <w:r w:rsidRPr="00BB38AD">
        <w:sym w:font="Symbol" w:char="F044"/>
      </w:r>
      <w:r w:rsidRPr="00BB38AD">
        <w:sym w:font="Symbol" w:char="F071"/>
      </w:r>
      <w:r w:rsidRPr="00BB38AD">
        <w:t>) of the optimized galangin-based sensitizers.</w:t>
      </w:r>
    </w:p>
    <w:tbl>
      <w:tblPr>
        <w:tblW w:w="5000" w:type="pct"/>
        <w:tblBorders>
          <w:top w:val="single" w:sz="4" w:space="0" w:color="auto"/>
          <w:bottom w:val="single" w:sz="4" w:space="0" w:color="auto"/>
        </w:tblBorders>
        <w:tblLook w:val="04A0" w:firstRow="1" w:lastRow="0" w:firstColumn="1" w:lastColumn="0" w:noHBand="0" w:noVBand="1"/>
      </w:tblPr>
      <w:tblGrid>
        <w:gridCol w:w="1470"/>
        <w:gridCol w:w="1413"/>
        <w:gridCol w:w="1064"/>
        <w:gridCol w:w="1919"/>
        <w:gridCol w:w="1052"/>
      </w:tblGrid>
      <w:tr w:rsidR="006E590A" w:rsidRPr="00BB38AD" w14:paraId="5F479B05" w14:textId="77777777" w:rsidTr="006E590A">
        <w:trPr>
          <w:trHeight w:val="532"/>
        </w:trPr>
        <w:tc>
          <w:tcPr>
            <w:tcW w:w="1063" w:type="pct"/>
            <w:tcBorders>
              <w:top w:val="single" w:sz="4" w:space="0" w:color="auto"/>
              <w:bottom w:val="single" w:sz="4" w:space="0" w:color="auto"/>
            </w:tcBorders>
            <w:vAlign w:val="center"/>
            <w:hideMark/>
          </w:tcPr>
          <w:p w14:paraId="1737FF1B" w14:textId="77777777" w:rsidR="006E590A" w:rsidRPr="00BB38AD" w:rsidRDefault="006E590A" w:rsidP="006E590A">
            <w:pPr>
              <w:overflowPunct/>
              <w:autoSpaceDE/>
              <w:autoSpaceDN/>
              <w:adjustRightInd/>
              <w:spacing w:line="240" w:lineRule="auto"/>
              <w:ind w:firstLine="0"/>
              <w:jc w:val="center"/>
              <w:textAlignment w:val="auto"/>
              <w:rPr>
                <w:b/>
                <w:bCs/>
                <w:color w:val="000000"/>
                <w:lang w:val="en-ID" w:eastAsia="en-ID"/>
              </w:rPr>
            </w:pPr>
            <w:r w:rsidRPr="00BB38AD">
              <w:rPr>
                <w:b/>
                <w:bCs/>
                <w:color w:val="000000"/>
                <w:lang w:val="en-ID" w:eastAsia="en-ID"/>
              </w:rPr>
              <w:t>Molecules</w:t>
            </w:r>
          </w:p>
        </w:tc>
        <w:tc>
          <w:tcPr>
            <w:tcW w:w="1021" w:type="pct"/>
            <w:tcBorders>
              <w:top w:val="single" w:sz="4" w:space="0" w:color="auto"/>
              <w:bottom w:val="single" w:sz="4" w:space="0" w:color="auto"/>
            </w:tcBorders>
            <w:vAlign w:val="center"/>
            <w:hideMark/>
          </w:tcPr>
          <w:p w14:paraId="5A427551" w14:textId="2B3E08D2" w:rsidR="006E590A" w:rsidRPr="00BB38AD" w:rsidRDefault="006E590A" w:rsidP="006E590A">
            <w:pPr>
              <w:overflowPunct/>
              <w:autoSpaceDE/>
              <w:autoSpaceDN/>
              <w:adjustRightInd/>
              <w:spacing w:line="240" w:lineRule="auto"/>
              <w:ind w:firstLine="0"/>
              <w:jc w:val="center"/>
              <w:textAlignment w:val="auto"/>
              <w:rPr>
                <w:b/>
                <w:bCs/>
                <w:color w:val="000000"/>
                <w:lang w:val="en-ID" w:eastAsia="en-ID"/>
              </w:rPr>
            </w:pPr>
            <w:r w:rsidRPr="00BB38AD">
              <w:rPr>
                <w:b/>
                <w:bCs/>
                <w:color w:val="000000"/>
                <w:lang w:val="en-ID" w:eastAsia="en-ID"/>
              </w:rPr>
              <w:t>G–</w:t>
            </w:r>
            <w:r w:rsidRPr="00BB38AD">
              <w:rPr>
                <w:b/>
                <w:bCs/>
                <w:color w:val="000000"/>
                <w:lang w:val="en-ID" w:eastAsia="en-ID"/>
              </w:rPr>
              <w:sym w:font="Symbol" w:char="F070"/>
            </w:r>
            <w:r w:rsidRPr="00BB38AD">
              <w:rPr>
                <w:b/>
                <w:bCs/>
                <w:color w:val="000000"/>
                <w:lang w:val="en-ID" w:eastAsia="en-ID"/>
              </w:rPr>
              <w:t>-spacer, θ₁ (°)</w:t>
            </w:r>
          </w:p>
        </w:tc>
        <w:tc>
          <w:tcPr>
            <w:tcW w:w="769" w:type="pct"/>
            <w:tcBorders>
              <w:top w:val="single" w:sz="4" w:space="0" w:color="auto"/>
              <w:bottom w:val="single" w:sz="4" w:space="0" w:color="auto"/>
            </w:tcBorders>
            <w:vAlign w:val="center"/>
            <w:hideMark/>
          </w:tcPr>
          <w:p w14:paraId="429B7B58" w14:textId="3F62CC24" w:rsidR="006E590A" w:rsidRPr="00BB38AD" w:rsidRDefault="006E590A" w:rsidP="006E590A">
            <w:pPr>
              <w:overflowPunct/>
              <w:autoSpaceDE/>
              <w:autoSpaceDN/>
              <w:adjustRightInd/>
              <w:spacing w:line="240" w:lineRule="auto"/>
              <w:ind w:firstLine="0"/>
              <w:jc w:val="center"/>
              <w:textAlignment w:val="auto"/>
              <w:rPr>
                <w:b/>
                <w:bCs/>
                <w:color w:val="000000"/>
                <w:lang w:val="en-ID" w:eastAsia="en-ID"/>
              </w:rPr>
            </w:pPr>
            <w:r w:rsidRPr="00BB38AD">
              <w:rPr>
                <w:b/>
                <w:bCs/>
                <w:color w:val="000000"/>
                <w:lang w:val="en-ID" w:eastAsia="en-ID"/>
              </w:rPr>
              <w:sym w:font="Symbol" w:char="F044"/>
            </w:r>
            <w:r w:rsidRPr="00BB38AD">
              <w:rPr>
                <w:b/>
                <w:bCs/>
                <w:color w:val="000000"/>
                <w:lang w:val="en-ID" w:eastAsia="en-ID"/>
              </w:rPr>
              <w:t>θ₁ (°)</w:t>
            </w:r>
          </w:p>
        </w:tc>
        <w:tc>
          <w:tcPr>
            <w:tcW w:w="1387" w:type="pct"/>
            <w:tcBorders>
              <w:top w:val="single" w:sz="4" w:space="0" w:color="auto"/>
              <w:bottom w:val="single" w:sz="4" w:space="0" w:color="auto"/>
            </w:tcBorders>
            <w:vAlign w:val="center"/>
            <w:hideMark/>
          </w:tcPr>
          <w:p w14:paraId="61D7AD6B" w14:textId="05534AAF" w:rsidR="006E590A" w:rsidRPr="00BB38AD" w:rsidRDefault="006E590A" w:rsidP="006E590A">
            <w:pPr>
              <w:overflowPunct/>
              <w:autoSpaceDE/>
              <w:autoSpaceDN/>
              <w:adjustRightInd/>
              <w:spacing w:line="240" w:lineRule="auto"/>
              <w:ind w:firstLine="0"/>
              <w:jc w:val="center"/>
              <w:textAlignment w:val="auto"/>
              <w:rPr>
                <w:b/>
                <w:bCs/>
                <w:color w:val="000000"/>
                <w:lang w:val="en-ID" w:eastAsia="en-ID"/>
              </w:rPr>
            </w:pPr>
            <w:r w:rsidRPr="00BB38AD">
              <w:rPr>
                <w:b/>
                <w:bCs/>
                <w:color w:val="000000"/>
                <w:lang w:val="en-ID" w:eastAsia="en-ID"/>
              </w:rPr>
              <w:sym w:font="Symbol" w:char="F070"/>
            </w:r>
            <w:r w:rsidRPr="00BB38AD">
              <w:rPr>
                <w:b/>
                <w:bCs/>
                <w:color w:val="000000"/>
                <w:lang w:val="en-ID" w:eastAsia="en-ID"/>
              </w:rPr>
              <w:t>-spacer–acceptor, θ₂ (°)</w:t>
            </w:r>
          </w:p>
        </w:tc>
        <w:tc>
          <w:tcPr>
            <w:tcW w:w="760" w:type="pct"/>
            <w:tcBorders>
              <w:top w:val="single" w:sz="4" w:space="0" w:color="auto"/>
              <w:bottom w:val="single" w:sz="4" w:space="0" w:color="auto"/>
            </w:tcBorders>
            <w:vAlign w:val="center"/>
            <w:hideMark/>
          </w:tcPr>
          <w:p w14:paraId="2A24C288" w14:textId="32353C9B" w:rsidR="006E590A" w:rsidRPr="00BB38AD" w:rsidRDefault="006E590A" w:rsidP="006E590A">
            <w:pPr>
              <w:overflowPunct/>
              <w:autoSpaceDE/>
              <w:autoSpaceDN/>
              <w:adjustRightInd/>
              <w:spacing w:line="240" w:lineRule="auto"/>
              <w:ind w:firstLine="0"/>
              <w:jc w:val="center"/>
              <w:textAlignment w:val="auto"/>
              <w:rPr>
                <w:b/>
                <w:bCs/>
                <w:color w:val="000000"/>
                <w:lang w:val="en-ID" w:eastAsia="en-ID"/>
              </w:rPr>
            </w:pPr>
            <w:r w:rsidRPr="00BB38AD">
              <w:rPr>
                <w:b/>
                <w:bCs/>
                <w:color w:val="000000"/>
                <w:lang w:val="en-ID" w:eastAsia="en-ID"/>
              </w:rPr>
              <w:sym w:font="Symbol" w:char="F044"/>
            </w:r>
            <w:r w:rsidRPr="00BB38AD">
              <w:rPr>
                <w:b/>
                <w:bCs/>
                <w:color w:val="000000"/>
                <w:lang w:val="en-ID" w:eastAsia="en-ID"/>
              </w:rPr>
              <w:t>θ</w:t>
            </w:r>
            <w:r w:rsidRPr="00BB38AD">
              <w:rPr>
                <w:b/>
                <w:bCs/>
                <w:color w:val="000000"/>
                <w:vertAlign w:val="subscript"/>
                <w:lang w:val="en-ID" w:eastAsia="en-ID"/>
              </w:rPr>
              <w:t>2</w:t>
            </w:r>
            <w:r w:rsidRPr="00BB38AD">
              <w:rPr>
                <w:b/>
                <w:bCs/>
                <w:color w:val="000000"/>
                <w:lang w:val="en-ID" w:eastAsia="en-ID"/>
              </w:rPr>
              <w:t xml:space="preserve"> (°)</w:t>
            </w:r>
          </w:p>
        </w:tc>
      </w:tr>
      <w:tr w:rsidR="006E590A" w:rsidRPr="00BB38AD" w14:paraId="54733556" w14:textId="77777777" w:rsidTr="006E590A">
        <w:trPr>
          <w:trHeight w:val="288"/>
        </w:trPr>
        <w:tc>
          <w:tcPr>
            <w:tcW w:w="1063" w:type="pct"/>
            <w:tcBorders>
              <w:top w:val="single" w:sz="4" w:space="0" w:color="auto"/>
            </w:tcBorders>
            <w:vAlign w:val="center"/>
            <w:hideMark/>
          </w:tcPr>
          <w:p w14:paraId="5912F0D2"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GFB</w:t>
            </w:r>
          </w:p>
        </w:tc>
        <w:tc>
          <w:tcPr>
            <w:tcW w:w="1021" w:type="pct"/>
            <w:tcBorders>
              <w:top w:val="single" w:sz="4" w:space="0" w:color="auto"/>
            </w:tcBorders>
            <w:vAlign w:val="center"/>
            <w:hideMark/>
          </w:tcPr>
          <w:p w14:paraId="46AD989B"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136.6</w:t>
            </w:r>
          </w:p>
        </w:tc>
        <w:tc>
          <w:tcPr>
            <w:tcW w:w="769" w:type="pct"/>
            <w:tcBorders>
              <w:top w:val="single" w:sz="4" w:space="0" w:color="auto"/>
            </w:tcBorders>
            <w:vAlign w:val="center"/>
            <w:hideMark/>
          </w:tcPr>
          <w:p w14:paraId="0CC456DE"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43.4</w:t>
            </w:r>
          </w:p>
        </w:tc>
        <w:tc>
          <w:tcPr>
            <w:tcW w:w="1387" w:type="pct"/>
            <w:tcBorders>
              <w:top w:val="single" w:sz="4" w:space="0" w:color="auto"/>
            </w:tcBorders>
            <w:vAlign w:val="center"/>
            <w:hideMark/>
          </w:tcPr>
          <w:p w14:paraId="63452CFB"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−13.4</w:t>
            </w:r>
          </w:p>
        </w:tc>
        <w:tc>
          <w:tcPr>
            <w:tcW w:w="760" w:type="pct"/>
            <w:tcBorders>
              <w:top w:val="single" w:sz="4" w:space="0" w:color="auto"/>
            </w:tcBorders>
            <w:vAlign w:val="center"/>
            <w:hideMark/>
          </w:tcPr>
          <w:p w14:paraId="6FDB8B12"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13.4</w:t>
            </w:r>
          </w:p>
        </w:tc>
      </w:tr>
      <w:tr w:rsidR="006E590A" w:rsidRPr="00BB38AD" w14:paraId="1F7D8E1F" w14:textId="77777777" w:rsidTr="006E590A">
        <w:trPr>
          <w:trHeight w:val="288"/>
        </w:trPr>
        <w:tc>
          <w:tcPr>
            <w:tcW w:w="1063" w:type="pct"/>
            <w:vAlign w:val="center"/>
            <w:hideMark/>
          </w:tcPr>
          <w:p w14:paraId="62D21190"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GFS</w:t>
            </w:r>
          </w:p>
        </w:tc>
        <w:tc>
          <w:tcPr>
            <w:tcW w:w="1021" w:type="pct"/>
            <w:vAlign w:val="center"/>
            <w:hideMark/>
          </w:tcPr>
          <w:p w14:paraId="2FF89BAD"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−104.4</w:t>
            </w:r>
          </w:p>
        </w:tc>
        <w:tc>
          <w:tcPr>
            <w:tcW w:w="769" w:type="pct"/>
            <w:vAlign w:val="center"/>
            <w:hideMark/>
          </w:tcPr>
          <w:p w14:paraId="6F7917EF"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75.6</w:t>
            </w:r>
          </w:p>
        </w:tc>
        <w:tc>
          <w:tcPr>
            <w:tcW w:w="1387" w:type="pct"/>
            <w:vAlign w:val="center"/>
            <w:hideMark/>
          </w:tcPr>
          <w:p w14:paraId="13980EBC"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176.4</w:t>
            </w:r>
          </w:p>
        </w:tc>
        <w:tc>
          <w:tcPr>
            <w:tcW w:w="760" w:type="pct"/>
            <w:vAlign w:val="center"/>
            <w:hideMark/>
          </w:tcPr>
          <w:p w14:paraId="4B79ECC8"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3.6</w:t>
            </w:r>
          </w:p>
        </w:tc>
      </w:tr>
      <w:tr w:rsidR="006E590A" w:rsidRPr="00BB38AD" w14:paraId="177061E1" w14:textId="77777777" w:rsidTr="006E590A">
        <w:trPr>
          <w:trHeight w:val="288"/>
        </w:trPr>
        <w:tc>
          <w:tcPr>
            <w:tcW w:w="1063" w:type="pct"/>
            <w:vAlign w:val="center"/>
            <w:hideMark/>
          </w:tcPr>
          <w:p w14:paraId="2EC21075"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GTB</w:t>
            </w:r>
          </w:p>
        </w:tc>
        <w:tc>
          <w:tcPr>
            <w:tcW w:w="1021" w:type="pct"/>
            <w:vAlign w:val="center"/>
            <w:hideMark/>
          </w:tcPr>
          <w:p w14:paraId="65FE2022"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143.6</w:t>
            </w:r>
          </w:p>
        </w:tc>
        <w:tc>
          <w:tcPr>
            <w:tcW w:w="769" w:type="pct"/>
            <w:vAlign w:val="center"/>
            <w:hideMark/>
          </w:tcPr>
          <w:p w14:paraId="6123AB11"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36.4</w:t>
            </w:r>
          </w:p>
        </w:tc>
        <w:tc>
          <w:tcPr>
            <w:tcW w:w="1387" w:type="pct"/>
            <w:vAlign w:val="center"/>
            <w:hideMark/>
          </w:tcPr>
          <w:p w14:paraId="3066888A"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157.2</w:t>
            </w:r>
          </w:p>
        </w:tc>
        <w:tc>
          <w:tcPr>
            <w:tcW w:w="760" w:type="pct"/>
            <w:vAlign w:val="center"/>
            <w:hideMark/>
          </w:tcPr>
          <w:p w14:paraId="6890D60B"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22.8</w:t>
            </w:r>
          </w:p>
        </w:tc>
      </w:tr>
      <w:tr w:rsidR="006E590A" w:rsidRPr="00BB38AD" w14:paraId="1231FC71" w14:textId="77777777" w:rsidTr="006E590A">
        <w:trPr>
          <w:trHeight w:val="288"/>
        </w:trPr>
        <w:tc>
          <w:tcPr>
            <w:tcW w:w="1063" w:type="pct"/>
            <w:vAlign w:val="center"/>
            <w:hideMark/>
          </w:tcPr>
          <w:p w14:paraId="4D67AE35"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GTS</w:t>
            </w:r>
          </w:p>
        </w:tc>
        <w:tc>
          <w:tcPr>
            <w:tcW w:w="1021" w:type="pct"/>
            <w:vAlign w:val="center"/>
            <w:hideMark/>
          </w:tcPr>
          <w:p w14:paraId="1D930D4F"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−105.2</w:t>
            </w:r>
          </w:p>
        </w:tc>
        <w:tc>
          <w:tcPr>
            <w:tcW w:w="769" w:type="pct"/>
            <w:vAlign w:val="center"/>
            <w:hideMark/>
          </w:tcPr>
          <w:p w14:paraId="2D725250"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74.8</w:t>
            </w:r>
          </w:p>
        </w:tc>
        <w:tc>
          <w:tcPr>
            <w:tcW w:w="1387" w:type="pct"/>
            <w:vAlign w:val="center"/>
            <w:hideMark/>
          </w:tcPr>
          <w:p w14:paraId="15CC8CE6"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179.9</w:t>
            </w:r>
          </w:p>
        </w:tc>
        <w:tc>
          <w:tcPr>
            <w:tcW w:w="760" w:type="pct"/>
            <w:vAlign w:val="center"/>
            <w:hideMark/>
          </w:tcPr>
          <w:p w14:paraId="6346121E" w14:textId="77777777" w:rsidR="006E590A" w:rsidRPr="00BB38AD" w:rsidRDefault="006E590A" w:rsidP="006E590A">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0.1</w:t>
            </w:r>
          </w:p>
        </w:tc>
      </w:tr>
    </w:tbl>
    <w:p w14:paraId="7DF54A20" w14:textId="77777777" w:rsidR="00DD5B70" w:rsidRPr="00BB38AD" w:rsidRDefault="00DD5B70" w:rsidP="00DD5B70">
      <w:pPr>
        <w:ind w:firstLine="0"/>
      </w:pPr>
    </w:p>
    <w:p w14:paraId="5EF413AF" w14:textId="77777777" w:rsidR="00E949C2" w:rsidRPr="00BB38AD" w:rsidRDefault="00E949C2" w:rsidP="00DD5B70">
      <w:pPr>
        <w:ind w:firstLine="0"/>
      </w:pPr>
    </w:p>
    <w:p w14:paraId="31B7BA0E" w14:textId="77777777" w:rsidR="00E949C2" w:rsidRPr="00BB38AD" w:rsidRDefault="00E949C2" w:rsidP="00E949C2">
      <w:pPr>
        <w:ind w:firstLine="0"/>
        <w:jc w:val="center"/>
        <w:rPr>
          <w:lang w:val="en-ID"/>
        </w:rPr>
      </w:pPr>
      <w:r w:rsidRPr="00BB38AD">
        <w:rPr>
          <w:noProof/>
          <w:lang w:val="en-ID"/>
        </w:rPr>
        <w:drawing>
          <wp:inline distT="0" distB="0" distL="0" distR="0" wp14:anchorId="1B7385E4" wp14:editId="39E44CAD">
            <wp:extent cx="4115343" cy="2867891"/>
            <wp:effectExtent l="0" t="0" r="0" b="8890"/>
            <wp:docPr id="1250982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982761" name=""/>
                    <pic:cNvPicPr/>
                  </pic:nvPicPr>
                  <pic:blipFill>
                    <a:blip r:embed="rId11"/>
                    <a:stretch>
                      <a:fillRect/>
                    </a:stretch>
                  </pic:blipFill>
                  <pic:spPr>
                    <a:xfrm>
                      <a:off x="0" y="0"/>
                      <a:ext cx="4159903" cy="2898944"/>
                    </a:xfrm>
                    <a:prstGeom prst="rect">
                      <a:avLst/>
                    </a:prstGeom>
                  </pic:spPr>
                </pic:pic>
              </a:graphicData>
            </a:graphic>
          </wp:inline>
        </w:drawing>
      </w:r>
    </w:p>
    <w:p w14:paraId="7069872C" w14:textId="77777777" w:rsidR="00E949C2" w:rsidRPr="00BB38AD" w:rsidRDefault="00E949C2" w:rsidP="00E949C2">
      <w:pPr>
        <w:ind w:firstLine="0"/>
      </w:pPr>
      <w:r w:rsidRPr="00BB38AD">
        <w:t>Fig 3. Frontier molecular orbital distributions of pristine galangin (GAL) and the designed galangin-based sensitizers GFB, GFS, GTB, and GTS, showing the HOMO−1, HOMO, LUMO, and LUMO+1 orbitals.</w:t>
      </w:r>
    </w:p>
    <w:p w14:paraId="3234E165" w14:textId="77777777" w:rsidR="00E949C2" w:rsidRPr="00BB38AD" w:rsidRDefault="00E949C2" w:rsidP="00DD5B70">
      <w:pPr>
        <w:ind w:firstLine="0"/>
      </w:pPr>
    </w:p>
    <w:p w14:paraId="018EB465" w14:textId="192BA1F9" w:rsidR="001B67D6" w:rsidRPr="00BB38AD" w:rsidRDefault="001B67D6" w:rsidP="001B67D6">
      <w:pPr>
        <w:rPr>
          <w:lang w:val="en-ID"/>
        </w:rPr>
      </w:pPr>
      <w:r w:rsidRPr="00BB38AD">
        <w:rPr>
          <w:lang w:val="en-ID"/>
        </w:rPr>
        <w:t>For pristine galangin, both the HOMO and LUMO are predominantly distributed over the galangin π-framework, indicating that the lowest electronic excitation is essentially localized within the parent chromophore. In contrast, modification with the π-spacer and acceptor produces a pronounced spatial redistribution of the frontier orbitals. It is found that the occupied frontier orbitals retain substantial contribution from the galangin and conjugated spacer regions, whereas the LUMO becomes strongly localized toward the π-spacer/terminal acceptor segment.</w:t>
      </w:r>
    </w:p>
    <w:p w14:paraId="127D43BB" w14:textId="4FC11999" w:rsidR="001B67D6" w:rsidRPr="00BB38AD" w:rsidRDefault="001B67D6" w:rsidP="001B67D6">
      <w:pPr>
        <w:rPr>
          <w:lang w:val="en-ID"/>
        </w:rPr>
      </w:pPr>
      <w:r w:rsidRPr="00BB38AD">
        <w:rPr>
          <w:lang w:val="en-ID"/>
        </w:rPr>
        <w:t xml:space="preserve">The spatial separation between occupied and unoccupied orbitals is particularly evident in GFB and GTB, where the LUMO density extends substantially toward the B acceptor. A similar donor-to-acceptor redistribution occurs in GFS and GTS, although the LUMO is more concentrated around the ethyl cyanoacetate-containing terminal </w:t>
      </w:r>
      <w:r w:rsidRPr="00BB38AD">
        <w:rPr>
          <w:lang w:val="en-ID"/>
        </w:rPr>
        <w:lastRenderedPageBreak/>
        <w:t xml:space="preserve">region. The HOMO−1 and LUMO+1 distributions further demonstrate that several nearby frontier orbitals participate in the extended π-conjugated framework. This becomes important for interpreting the </w:t>
      </w:r>
      <w:r w:rsidR="00485F0A" w:rsidRPr="00BB38AD">
        <w:rPr>
          <w:lang w:val="en-ID"/>
        </w:rPr>
        <w:t xml:space="preserve">next </w:t>
      </w:r>
      <w:r w:rsidRPr="00BB38AD">
        <w:rPr>
          <w:lang w:val="en-ID"/>
        </w:rPr>
        <w:t>TD-DFT results, particularly for GFS and GTS, whose major absorption bands contain significant contributions from both HOMO→LUMO and HOMO−1→LUMO transitions.</w:t>
      </w:r>
    </w:p>
    <w:p w14:paraId="6E717AB4" w14:textId="77777777" w:rsidR="001B67D6" w:rsidRPr="00BB38AD" w:rsidRDefault="001B67D6" w:rsidP="00F57114">
      <w:pPr>
        <w:ind w:firstLine="0"/>
        <w:jc w:val="left"/>
      </w:pPr>
    </w:p>
    <w:p w14:paraId="3AB90F50" w14:textId="77777777" w:rsidR="001830DE" w:rsidRPr="00BB38AD" w:rsidRDefault="001830DE" w:rsidP="001830DE">
      <w:pPr>
        <w:spacing w:after="240"/>
        <w:ind w:firstLine="0"/>
        <w:rPr>
          <w:b/>
          <w:bCs/>
          <w:lang w:val="en-ID"/>
        </w:rPr>
      </w:pPr>
      <w:r w:rsidRPr="00BB38AD">
        <w:rPr>
          <w:b/>
          <w:bCs/>
          <w:lang w:val="en-ID"/>
        </w:rPr>
        <w:t>3.2. Frontier Orbital Energies and Energy-Gap Modulation</w:t>
      </w:r>
    </w:p>
    <w:p w14:paraId="0B34E04A" w14:textId="5E6F57DB" w:rsidR="00880B2B" w:rsidRPr="00BB38AD" w:rsidRDefault="001830DE" w:rsidP="001830DE">
      <w:pPr>
        <w:ind w:firstLine="0"/>
        <w:rPr>
          <w:lang w:val="en-ID"/>
        </w:rPr>
      </w:pPr>
      <w:r w:rsidRPr="00BB38AD">
        <w:rPr>
          <w:lang w:val="en-ID"/>
        </w:rPr>
        <w:t>The calculated HOMO and LUMO energies and their corresponding energy gaps are summarized in</w:t>
      </w:r>
      <w:r w:rsidR="0099186D" w:rsidRPr="00BB38AD">
        <w:rPr>
          <w:lang w:val="en-ID"/>
        </w:rPr>
        <w:t xml:space="preserve"> </w:t>
      </w:r>
      <w:r w:rsidRPr="00BB38AD">
        <w:rPr>
          <w:lang w:val="en-ID"/>
        </w:rPr>
        <w:t xml:space="preserve">Table </w:t>
      </w:r>
      <w:r w:rsidR="00017C04" w:rsidRPr="00BB38AD">
        <w:rPr>
          <w:lang w:val="en-ID"/>
        </w:rPr>
        <w:t>2</w:t>
      </w:r>
      <w:r w:rsidR="0099186D" w:rsidRPr="00BB38AD">
        <w:rPr>
          <w:lang w:val="en-ID"/>
        </w:rPr>
        <w:t xml:space="preserve"> and Fig </w:t>
      </w:r>
      <w:r w:rsidR="006E19C0" w:rsidRPr="00BB38AD">
        <w:rPr>
          <w:lang w:val="en-ID"/>
        </w:rPr>
        <w:t>4</w:t>
      </w:r>
      <w:r w:rsidRPr="00BB38AD">
        <w:rPr>
          <w:lang w:val="en-ID"/>
        </w:rPr>
        <w:t>. Pristine galangin exhibits HOMO and LUMO energies of −5.688 and −1.812 eV, respectively, resulting in the largest HOMO–LUMO</w:t>
      </w:r>
    </w:p>
    <w:p w14:paraId="688D39A4" w14:textId="54563B7C" w:rsidR="001830DE" w:rsidRPr="00BB38AD" w:rsidRDefault="001830DE" w:rsidP="001830DE">
      <w:pPr>
        <w:ind w:firstLine="0"/>
        <w:rPr>
          <w:lang w:val="en-ID"/>
        </w:rPr>
      </w:pPr>
      <w:r w:rsidRPr="00BB38AD">
        <w:rPr>
          <w:lang w:val="en-ID"/>
        </w:rPr>
        <w:t xml:space="preserve"> gap, </w:t>
      </w:r>
      <m:oMath>
        <m:sSub>
          <m:sSubPr>
            <m:ctrlPr>
              <w:rPr>
                <w:rFonts w:ascii="Cambria Math" w:hAnsi="Cambria Math"/>
                <w:lang w:val="en-ID"/>
              </w:rPr>
            </m:ctrlPr>
          </m:sSubPr>
          <m:e>
            <m:r>
              <w:rPr>
                <w:rFonts w:ascii="Cambria Math" w:hAnsi="Cambria Math"/>
                <w:lang w:val="en-ID"/>
              </w:rPr>
              <m:t>E</m:t>
            </m:r>
          </m:e>
          <m:sub>
            <m:r>
              <w:rPr>
                <w:rFonts w:ascii="Cambria Math" w:hAnsi="Cambria Math"/>
                <w:lang w:val="en-ID"/>
              </w:rPr>
              <m:t>g</m:t>
            </m:r>
          </m:sub>
        </m:sSub>
      </m:oMath>
      <w:r w:rsidRPr="00BB38AD">
        <w:rPr>
          <w:lang w:val="en-ID"/>
        </w:rPr>
        <w:t>, of 3.876 eV. All structural modifications reduce this gap, demonstrating that extension of the molecular conjugation through the π-spacer and terminal acceptor effectively modifies the electronic structure of galangin.</w:t>
      </w:r>
    </w:p>
    <w:p w14:paraId="62118864" w14:textId="77777777" w:rsidR="00880B2B" w:rsidRPr="00BB38AD" w:rsidRDefault="00880B2B" w:rsidP="001830DE">
      <w:pPr>
        <w:ind w:firstLine="0"/>
        <w:rPr>
          <w:lang w:val="en-ID"/>
        </w:rPr>
      </w:pPr>
    </w:p>
    <w:p w14:paraId="38BC8803" w14:textId="43B86605" w:rsidR="00880B2B" w:rsidRPr="00BB38AD" w:rsidRDefault="00880B2B" w:rsidP="00017B50">
      <w:pPr>
        <w:ind w:firstLine="0"/>
        <w:rPr>
          <w:lang w:val="en-ID"/>
        </w:rPr>
      </w:pPr>
      <w:r w:rsidRPr="00BB38AD">
        <w:t xml:space="preserve">Table </w:t>
      </w:r>
      <w:r w:rsidR="00017C04" w:rsidRPr="00BB38AD">
        <w:t>2</w:t>
      </w:r>
      <w:r w:rsidRPr="00BB38AD">
        <w:t>. Calculated HOMO and LUMO energies, HOMO–LUMO energy gaps, and energy-gap changes of pristine galangin (GAL) and the designed galangin-based sensitizers.</w:t>
      </w:r>
    </w:p>
    <w:tbl>
      <w:tblPr>
        <w:tblW w:w="5000" w:type="pct"/>
        <w:tblBorders>
          <w:top w:val="single" w:sz="4" w:space="0" w:color="auto"/>
          <w:bottom w:val="single" w:sz="4" w:space="0" w:color="auto"/>
        </w:tblBorders>
        <w:tblLook w:val="04A0" w:firstRow="1" w:lastRow="0" w:firstColumn="1" w:lastColumn="0" w:noHBand="0" w:noVBand="1"/>
      </w:tblPr>
      <w:tblGrid>
        <w:gridCol w:w="1250"/>
        <w:gridCol w:w="1285"/>
        <w:gridCol w:w="1247"/>
        <w:gridCol w:w="938"/>
        <w:gridCol w:w="928"/>
        <w:gridCol w:w="1270"/>
      </w:tblGrid>
      <w:tr w:rsidR="003B53D8" w:rsidRPr="00BB38AD" w14:paraId="0C529AD1" w14:textId="46B3011C" w:rsidTr="001A5387">
        <w:trPr>
          <w:trHeight w:val="576"/>
        </w:trPr>
        <w:tc>
          <w:tcPr>
            <w:tcW w:w="903" w:type="pct"/>
            <w:tcBorders>
              <w:top w:val="single" w:sz="4" w:space="0" w:color="auto"/>
              <w:bottom w:val="single" w:sz="4" w:space="0" w:color="auto"/>
            </w:tcBorders>
            <w:vAlign w:val="center"/>
            <w:hideMark/>
          </w:tcPr>
          <w:p w14:paraId="33BAAA24" w14:textId="5180EFE9" w:rsidR="003B53D8" w:rsidRPr="00BB38AD" w:rsidRDefault="003B53D8">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Molecule</w:t>
            </w:r>
            <w:r w:rsidR="00017B50" w:rsidRPr="00BB38AD">
              <w:rPr>
                <w:color w:val="000000"/>
                <w:lang w:val="en-ID" w:eastAsia="en-ID"/>
              </w:rPr>
              <w:t>s</w:t>
            </w:r>
          </w:p>
        </w:tc>
        <w:tc>
          <w:tcPr>
            <w:tcW w:w="929" w:type="pct"/>
            <w:tcBorders>
              <w:top w:val="single" w:sz="4" w:space="0" w:color="auto"/>
              <w:bottom w:val="single" w:sz="4" w:space="0" w:color="auto"/>
            </w:tcBorders>
            <w:vAlign w:val="center"/>
            <w:hideMark/>
          </w:tcPr>
          <w:p w14:paraId="1B1DF2C2" w14:textId="77777777" w:rsidR="003B53D8" w:rsidRPr="00BB38AD" w:rsidRDefault="003B53D8">
            <w:pPr>
              <w:overflowPunct/>
              <w:autoSpaceDE/>
              <w:autoSpaceDN/>
              <w:adjustRightInd/>
              <w:spacing w:line="240" w:lineRule="auto"/>
              <w:ind w:firstLine="0"/>
              <w:jc w:val="right"/>
              <w:textAlignment w:val="auto"/>
              <w:rPr>
                <w:color w:val="000000"/>
                <w:lang w:val="en-ID" w:eastAsia="en-ID"/>
              </w:rPr>
            </w:pPr>
            <w:r w:rsidRPr="00BB38AD">
              <w:rPr>
                <w:color w:val="000000"/>
                <w:lang w:val="en-ID" w:eastAsia="en-ID"/>
              </w:rPr>
              <w:t>E</w:t>
            </w:r>
            <w:r w:rsidRPr="00BB38AD">
              <w:rPr>
                <w:color w:val="000000"/>
                <w:vertAlign w:val="subscript"/>
                <w:lang w:val="en-ID" w:eastAsia="en-ID"/>
              </w:rPr>
              <w:t>HOMO</w:t>
            </w:r>
            <w:r w:rsidRPr="00BB38AD">
              <w:rPr>
                <w:color w:val="000000"/>
                <w:lang w:val="en-ID" w:eastAsia="en-ID"/>
              </w:rPr>
              <w:t xml:space="preserve"> (eV)</w:t>
            </w:r>
          </w:p>
        </w:tc>
        <w:tc>
          <w:tcPr>
            <w:tcW w:w="901" w:type="pct"/>
            <w:tcBorders>
              <w:top w:val="single" w:sz="4" w:space="0" w:color="auto"/>
              <w:bottom w:val="single" w:sz="4" w:space="0" w:color="auto"/>
            </w:tcBorders>
            <w:vAlign w:val="center"/>
            <w:hideMark/>
          </w:tcPr>
          <w:p w14:paraId="66F6C17C" w14:textId="77777777" w:rsidR="003B53D8" w:rsidRPr="00BB38AD" w:rsidRDefault="003B53D8">
            <w:pPr>
              <w:overflowPunct/>
              <w:autoSpaceDE/>
              <w:autoSpaceDN/>
              <w:adjustRightInd/>
              <w:spacing w:line="240" w:lineRule="auto"/>
              <w:ind w:firstLine="0"/>
              <w:jc w:val="right"/>
              <w:textAlignment w:val="auto"/>
              <w:rPr>
                <w:color w:val="000000"/>
                <w:lang w:val="en-ID" w:eastAsia="en-ID"/>
              </w:rPr>
            </w:pPr>
            <w:r w:rsidRPr="00BB38AD">
              <w:rPr>
                <w:color w:val="000000"/>
                <w:lang w:val="en-ID" w:eastAsia="en-ID"/>
              </w:rPr>
              <w:t>E</w:t>
            </w:r>
            <w:r w:rsidRPr="00BB38AD">
              <w:rPr>
                <w:color w:val="000000"/>
                <w:vertAlign w:val="subscript"/>
                <w:lang w:val="en-ID" w:eastAsia="en-ID"/>
              </w:rPr>
              <w:t>LUMO</w:t>
            </w:r>
            <w:r w:rsidRPr="00BB38AD">
              <w:rPr>
                <w:color w:val="000000"/>
                <w:lang w:val="en-ID" w:eastAsia="en-ID"/>
              </w:rPr>
              <w:t xml:space="preserve"> (eV)</w:t>
            </w:r>
          </w:p>
        </w:tc>
        <w:tc>
          <w:tcPr>
            <w:tcW w:w="678" w:type="pct"/>
            <w:tcBorders>
              <w:top w:val="single" w:sz="4" w:space="0" w:color="auto"/>
              <w:bottom w:val="single" w:sz="4" w:space="0" w:color="auto"/>
            </w:tcBorders>
            <w:vAlign w:val="center"/>
            <w:hideMark/>
          </w:tcPr>
          <w:p w14:paraId="2369970D" w14:textId="77777777" w:rsidR="003B53D8" w:rsidRPr="00BB38AD" w:rsidRDefault="003B53D8">
            <w:pPr>
              <w:overflowPunct/>
              <w:autoSpaceDE/>
              <w:autoSpaceDN/>
              <w:adjustRightInd/>
              <w:spacing w:line="240" w:lineRule="auto"/>
              <w:ind w:firstLine="0"/>
              <w:jc w:val="right"/>
              <w:textAlignment w:val="auto"/>
              <w:rPr>
                <w:color w:val="000000"/>
                <w:lang w:val="en-ID" w:eastAsia="en-ID"/>
              </w:rPr>
            </w:pPr>
            <w:r w:rsidRPr="00BB38AD">
              <w:rPr>
                <w:color w:val="000000"/>
                <w:lang w:val="en-ID" w:eastAsia="en-ID"/>
              </w:rPr>
              <w:t>E</w:t>
            </w:r>
            <w:r w:rsidRPr="00BB38AD">
              <w:rPr>
                <w:color w:val="000000"/>
                <w:vertAlign w:val="subscript"/>
                <w:lang w:val="en-ID" w:eastAsia="en-ID"/>
              </w:rPr>
              <w:t>g</w:t>
            </w:r>
            <w:r w:rsidRPr="00BB38AD">
              <w:rPr>
                <w:color w:val="000000"/>
                <w:lang w:val="en-ID" w:eastAsia="en-ID"/>
              </w:rPr>
              <w:t xml:space="preserve"> (eV)</w:t>
            </w:r>
          </w:p>
        </w:tc>
        <w:tc>
          <w:tcPr>
            <w:tcW w:w="671" w:type="pct"/>
            <w:tcBorders>
              <w:top w:val="single" w:sz="4" w:space="0" w:color="auto"/>
              <w:bottom w:val="single" w:sz="4" w:space="0" w:color="auto"/>
            </w:tcBorders>
            <w:vAlign w:val="center"/>
            <w:hideMark/>
          </w:tcPr>
          <w:p w14:paraId="24D4A1DE" w14:textId="77777777" w:rsidR="003B53D8" w:rsidRPr="00BB38AD" w:rsidRDefault="003B53D8">
            <w:pPr>
              <w:overflowPunct/>
              <w:autoSpaceDE/>
              <w:autoSpaceDN/>
              <w:adjustRightInd/>
              <w:spacing w:line="240" w:lineRule="auto"/>
              <w:ind w:firstLine="0"/>
              <w:jc w:val="right"/>
              <w:textAlignment w:val="auto"/>
              <w:rPr>
                <w:color w:val="000000"/>
                <w:lang w:val="en-ID" w:eastAsia="en-ID"/>
              </w:rPr>
            </w:pPr>
            <w:r w:rsidRPr="00BB38AD">
              <w:rPr>
                <w:color w:val="000000"/>
                <w:lang w:val="en-ID" w:eastAsia="en-ID"/>
              </w:rPr>
              <w:t>ΔE</w:t>
            </w:r>
            <w:r w:rsidRPr="00BB38AD">
              <w:rPr>
                <w:color w:val="000000"/>
                <w:vertAlign w:val="subscript"/>
                <w:lang w:val="en-ID" w:eastAsia="en-ID"/>
              </w:rPr>
              <w:t>g</w:t>
            </w:r>
            <w:r w:rsidRPr="00BB38AD">
              <w:rPr>
                <w:color w:val="000000"/>
                <w:lang w:val="en-ID" w:eastAsia="en-ID"/>
              </w:rPr>
              <w:t xml:space="preserve"> (eV)</w:t>
            </w:r>
          </w:p>
        </w:tc>
        <w:tc>
          <w:tcPr>
            <w:tcW w:w="919" w:type="pct"/>
            <w:tcBorders>
              <w:top w:val="single" w:sz="4" w:space="0" w:color="auto"/>
              <w:bottom w:val="single" w:sz="4" w:space="0" w:color="auto"/>
            </w:tcBorders>
            <w:vAlign w:val="center"/>
          </w:tcPr>
          <w:p w14:paraId="5C3E6184" w14:textId="70F89F05" w:rsidR="003B53D8" w:rsidRPr="00BB38AD" w:rsidRDefault="0099186D">
            <w:pPr>
              <w:overflowPunct/>
              <w:autoSpaceDE/>
              <w:autoSpaceDN/>
              <w:adjustRightInd/>
              <w:spacing w:line="240" w:lineRule="auto"/>
              <w:ind w:firstLine="0"/>
              <w:jc w:val="right"/>
              <w:textAlignment w:val="auto"/>
              <w:rPr>
                <w:color w:val="000000"/>
                <w:lang w:val="en-ID" w:eastAsia="en-ID"/>
              </w:rPr>
            </w:pPr>
            <w:r w:rsidRPr="00BB38AD">
              <w:rPr>
                <w:color w:val="000000"/>
                <w:lang w:val="en-ID" w:eastAsia="en-ID"/>
              </w:rPr>
              <w:sym w:font="Symbol" w:char="F06D"/>
            </w:r>
            <w:r w:rsidRPr="00BB38AD">
              <w:rPr>
                <w:color w:val="000000"/>
                <w:lang w:val="en-ID" w:eastAsia="en-ID"/>
              </w:rPr>
              <w:t>(</w:t>
            </w:r>
            <w:r w:rsidR="003B53D8" w:rsidRPr="00BB38AD">
              <w:rPr>
                <w:color w:val="000000"/>
                <w:lang w:val="en-ID" w:eastAsia="en-ID"/>
              </w:rPr>
              <w:t>D</w:t>
            </w:r>
            <w:r w:rsidR="001A5387" w:rsidRPr="00BB38AD">
              <w:rPr>
                <w:color w:val="000000"/>
                <w:lang w:val="en-ID" w:eastAsia="en-ID"/>
              </w:rPr>
              <w:t>ebye, D</w:t>
            </w:r>
            <w:r w:rsidRPr="00BB38AD">
              <w:rPr>
                <w:color w:val="000000"/>
                <w:lang w:val="en-ID" w:eastAsia="en-ID"/>
              </w:rPr>
              <w:t>)</w:t>
            </w:r>
          </w:p>
        </w:tc>
      </w:tr>
      <w:tr w:rsidR="003B53D8" w:rsidRPr="00BB38AD" w14:paraId="0E700611" w14:textId="602FF6B1" w:rsidTr="001A5387">
        <w:trPr>
          <w:trHeight w:val="288"/>
        </w:trPr>
        <w:tc>
          <w:tcPr>
            <w:tcW w:w="903" w:type="pct"/>
            <w:tcBorders>
              <w:top w:val="single" w:sz="4" w:space="0" w:color="auto"/>
            </w:tcBorders>
            <w:vAlign w:val="center"/>
            <w:hideMark/>
          </w:tcPr>
          <w:p w14:paraId="5809FD3F" w14:textId="77777777" w:rsidR="003B53D8" w:rsidRPr="00BB38AD" w:rsidRDefault="003B53D8">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G</w:t>
            </w:r>
          </w:p>
        </w:tc>
        <w:tc>
          <w:tcPr>
            <w:tcW w:w="929" w:type="pct"/>
            <w:tcBorders>
              <w:top w:val="single" w:sz="4" w:space="0" w:color="auto"/>
            </w:tcBorders>
            <w:vAlign w:val="center"/>
            <w:hideMark/>
          </w:tcPr>
          <w:p w14:paraId="12453201"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−5.688</w:t>
            </w:r>
          </w:p>
        </w:tc>
        <w:tc>
          <w:tcPr>
            <w:tcW w:w="901" w:type="pct"/>
            <w:tcBorders>
              <w:top w:val="single" w:sz="4" w:space="0" w:color="auto"/>
            </w:tcBorders>
            <w:vAlign w:val="center"/>
            <w:hideMark/>
          </w:tcPr>
          <w:p w14:paraId="039C1B38"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−1.812</w:t>
            </w:r>
          </w:p>
        </w:tc>
        <w:tc>
          <w:tcPr>
            <w:tcW w:w="678" w:type="pct"/>
            <w:tcBorders>
              <w:top w:val="single" w:sz="4" w:space="0" w:color="auto"/>
            </w:tcBorders>
            <w:vAlign w:val="center"/>
            <w:hideMark/>
          </w:tcPr>
          <w:p w14:paraId="16CCF86E"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3.876</w:t>
            </w:r>
          </w:p>
        </w:tc>
        <w:tc>
          <w:tcPr>
            <w:tcW w:w="671" w:type="pct"/>
            <w:tcBorders>
              <w:top w:val="single" w:sz="4" w:space="0" w:color="auto"/>
            </w:tcBorders>
            <w:vAlign w:val="center"/>
            <w:hideMark/>
          </w:tcPr>
          <w:p w14:paraId="50635992" w14:textId="516D394B" w:rsidR="003B53D8" w:rsidRPr="00BB38AD" w:rsidRDefault="0099186D"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w:t>
            </w:r>
          </w:p>
        </w:tc>
        <w:tc>
          <w:tcPr>
            <w:tcW w:w="919" w:type="pct"/>
            <w:tcBorders>
              <w:top w:val="single" w:sz="4" w:space="0" w:color="auto"/>
            </w:tcBorders>
          </w:tcPr>
          <w:p w14:paraId="2B17DA2A" w14:textId="21748E71" w:rsidR="003B53D8" w:rsidRPr="00BB38AD" w:rsidRDefault="0099186D"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6.679</w:t>
            </w:r>
          </w:p>
        </w:tc>
      </w:tr>
      <w:tr w:rsidR="003B53D8" w:rsidRPr="00BB38AD" w14:paraId="388AB164" w14:textId="4D194C62" w:rsidTr="001A5387">
        <w:trPr>
          <w:trHeight w:val="288"/>
        </w:trPr>
        <w:tc>
          <w:tcPr>
            <w:tcW w:w="903" w:type="pct"/>
            <w:vAlign w:val="center"/>
            <w:hideMark/>
          </w:tcPr>
          <w:p w14:paraId="7AA56D59" w14:textId="77777777" w:rsidR="003B53D8" w:rsidRPr="00BB38AD" w:rsidRDefault="003B53D8">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GFB</w:t>
            </w:r>
          </w:p>
        </w:tc>
        <w:tc>
          <w:tcPr>
            <w:tcW w:w="929" w:type="pct"/>
            <w:vAlign w:val="center"/>
            <w:hideMark/>
          </w:tcPr>
          <w:p w14:paraId="3760F1DC"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−5.513</w:t>
            </w:r>
          </w:p>
        </w:tc>
        <w:tc>
          <w:tcPr>
            <w:tcW w:w="901" w:type="pct"/>
            <w:vAlign w:val="center"/>
            <w:hideMark/>
          </w:tcPr>
          <w:p w14:paraId="1D2B4896"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−2.015</w:t>
            </w:r>
          </w:p>
        </w:tc>
        <w:tc>
          <w:tcPr>
            <w:tcW w:w="678" w:type="pct"/>
            <w:vAlign w:val="center"/>
            <w:hideMark/>
          </w:tcPr>
          <w:p w14:paraId="208C56CB"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3.498</w:t>
            </w:r>
          </w:p>
        </w:tc>
        <w:tc>
          <w:tcPr>
            <w:tcW w:w="671" w:type="pct"/>
            <w:vAlign w:val="center"/>
            <w:hideMark/>
          </w:tcPr>
          <w:p w14:paraId="42EA7B58"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−0.378</w:t>
            </w:r>
          </w:p>
        </w:tc>
        <w:tc>
          <w:tcPr>
            <w:tcW w:w="919" w:type="pct"/>
          </w:tcPr>
          <w:p w14:paraId="5E941E3F" w14:textId="671A5D74" w:rsidR="003B53D8" w:rsidRPr="00BB38AD" w:rsidRDefault="0099186D"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6.627</w:t>
            </w:r>
          </w:p>
        </w:tc>
      </w:tr>
      <w:tr w:rsidR="003B53D8" w:rsidRPr="00BB38AD" w14:paraId="34525F10" w14:textId="73593E23" w:rsidTr="001A5387">
        <w:trPr>
          <w:trHeight w:val="288"/>
        </w:trPr>
        <w:tc>
          <w:tcPr>
            <w:tcW w:w="903" w:type="pct"/>
            <w:vAlign w:val="center"/>
            <w:hideMark/>
          </w:tcPr>
          <w:p w14:paraId="3BC41BAD" w14:textId="77777777" w:rsidR="003B53D8" w:rsidRPr="00BB38AD" w:rsidRDefault="003B53D8">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GFS</w:t>
            </w:r>
          </w:p>
        </w:tc>
        <w:tc>
          <w:tcPr>
            <w:tcW w:w="929" w:type="pct"/>
            <w:vAlign w:val="center"/>
            <w:hideMark/>
          </w:tcPr>
          <w:p w14:paraId="6D668739"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−5.408</w:t>
            </w:r>
          </w:p>
        </w:tc>
        <w:tc>
          <w:tcPr>
            <w:tcW w:w="901" w:type="pct"/>
            <w:vAlign w:val="center"/>
            <w:hideMark/>
          </w:tcPr>
          <w:p w14:paraId="115E8B93"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−2.033</w:t>
            </w:r>
          </w:p>
        </w:tc>
        <w:tc>
          <w:tcPr>
            <w:tcW w:w="678" w:type="pct"/>
            <w:vAlign w:val="center"/>
            <w:hideMark/>
          </w:tcPr>
          <w:p w14:paraId="731D2F3C"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3.375</w:t>
            </w:r>
          </w:p>
        </w:tc>
        <w:tc>
          <w:tcPr>
            <w:tcW w:w="671" w:type="pct"/>
            <w:vAlign w:val="center"/>
            <w:hideMark/>
          </w:tcPr>
          <w:p w14:paraId="41AA10C6"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−0.501</w:t>
            </w:r>
          </w:p>
        </w:tc>
        <w:tc>
          <w:tcPr>
            <w:tcW w:w="919" w:type="pct"/>
          </w:tcPr>
          <w:p w14:paraId="41B1AA18" w14:textId="35278760" w:rsidR="003B53D8" w:rsidRPr="00BB38AD" w:rsidRDefault="0099186D"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9.626</w:t>
            </w:r>
          </w:p>
        </w:tc>
      </w:tr>
      <w:tr w:rsidR="003B53D8" w:rsidRPr="00BB38AD" w14:paraId="56F38BA3" w14:textId="57D72B6A" w:rsidTr="001A5387">
        <w:trPr>
          <w:trHeight w:val="288"/>
        </w:trPr>
        <w:tc>
          <w:tcPr>
            <w:tcW w:w="903" w:type="pct"/>
            <w:vAlign w:val="center"/>
            <w:hideMark/>
          </w:tcPr>
          <w:p w14:paraId="5715A833" w14:textId="77777777" w:rsidR="003B53D8" w:rsidRPr="00BB38AD" w:rsidRDefault="003B53D8">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GTB</w:t>
            </w:r>
          </w:p>
        </w:tc>
        <w:tc>
          <w:tcPr>
            <w:tcW w:w="929" w:type="pct"/>
            <w:vAlign w:val="center"/>
            <w:hideMark/>
          </w:tcPr>
          <w:p w14:paraId="74E29FFD"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−5.605</w:t>
            </w:r>
          </w:p>
        </w:tc>
        <w:tc>
          <w:tcPr>
            <w:tcW w:w="901" w:type="pct"/>
            <w:vAlign w:val="center"/>
            <w:hideMark/>
          </w:tcPr>
          <w:p w14:paraId="3520A998"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−2.301</w:t>
            </w:r>
          </w:p>
        </w:tc>
        <w:tc>
          <w:tcPr>
            <w:tcW w:w="678" w:type="pct"/>
            <w:vAlign w:val="center"/>
            <w:hideMark/>
          </w:tcPr>
          <w:p w14:paraId="4116E949"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3.304</w:t>
            </w:r>
          </w:p>
        </w:tc>
        <w:tc>
          <w:tcPr>
            <w:tcW w:w="671" w:type="pct"/>
            <w:vAlign w:val="center"/>
            <w:hideMark/>
          </w:tcPr>
          <w:p w14:paraId="270070C9"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−0.572</w:t>
            </w:r>
          </w:p>
        </w:tc>
        <w:tc>
          <w:tcPr>
            <w:tcW w:w="919" w:type="pct"/>
          </w:tcPr>
          <w:p w14:paraId="74A97365" w14:textId="39DDCB01" w:rsidR="003B53D8" w:rsidRPr="00BB38AD" w:rsidRDefault="0099186D"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8.687</w:t>
            </w:r>
          </w:p>
        </w:tc>
      </w:tr>
      <w:tr w:rsidR="003B53D8" w:rsidRPr="00BB38AD" w14:paraId="2B80897E" w14:textId="23BCED7E" w:rsidTr="001A5387">
        <w:trPr>
          <w:trHeight w:val="288"/>
        </w:trPr>
        <w:tc>
          <w:tcPr>
            <w:tcW w:w="903" w:type="pct"/>
            <w:vAlign w:val="center"/>
            <w:hideMark/>
          </w:tcPr>
          <w:p w14:paraId="5840C408" w14:textId="77777777" w:rsidR="003B53D8" w:rsidRPr="00BB38AD" w:rsidRDefault="003B53D8">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GTS</w:t>
            </w:r>
          </w:p>
        </w:tc>
        <w:tc>
          <w:tcPr>
            <w:tcW w:w="929" w:type="pct"/>
            <w:vAlign w:val="center"/>
            <w:hideMark/>
          </w:tcPr>
          <w:p w14:paraId="47AD3C40"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−5.563</w:t>
            </w:r>
          </w:p>
        </w:tc>
        <w:tc>
          <w:tcPr>
            <w:tcW w:w="901" w:type="pct"/>
            <w:vAlign w:val="center"/>
            <w:hideMark/>
          </w:tcPr>
          <w:p w14:paraId="5BED38D1"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−2.364</w:t>
            </w:r>
          </w:p>
        </w:tc>
        <w:tc>
          <w:tcPr>
            <w:tcW w:w="678" w:type="pct"/>
            <w:vAlign w:val="center"/>
            <w:hideMark/>
          </w:tcPr>
          <w:p w14:paraId="36A99466"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3.199</w:t>
            </w:r>
          </w:p>
        </w:tc>
        <w:tc>
          <w:tcPr>
            <w:tcW w:w="671" w:type="pct"/>
            <w:vAlign w:val="center"/>
            <w:hideMark/>
          </w:tcPr>
          <w:p w14:paraId="22AEEB2B" w14:textId="77777777" w:rsidR="003B53D8" w:rsidRPr="00BB38AD" w:rsidRDefault="003B53D8"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−0.677</w:t>
            </w:r>
          </w:p>
        </w:tc>
        <w:tc>
          <w:tcPr>
            <w:tcW w:w="919" w:type="pct"/>
          </w:tcPr>
          <w:p w14:paraId="21EFC1BC" w14:textId="61667D12" w:rsidR="003B53D8" w:rsidRPr="00BB38AD" w:rsidRDefault="0099186D" w:rsidP="001A5387">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15.125</w:t>
            </w:r>
          </w:p>
        </w:tc>
      </w:tr>
    </w:tbl>
    <w:p w14:paraId="7DBA4314" w14:textId="77777777" w:rsidR="006E590A" w:rsidRPr="00BB38AD" w:rsidRDefault="006E590A" w:rsidP="00E949C2">
      <w:pPr>
        <w:ind w:firstLine="0"/>
        <w:rPr>
          <w:lang w:val="en-ID"/>
        </w:rPr>
      </w:pPr>
    </w:p>
    <w:p w14:paraId="39B11806" w14:textId="77777777" w:rsidR="00E949C2" w:rsidRPr="00BB38AD" w:rsidRDefault="00E949C2" w:rsidP="00E949C2">
      <w:pPr>
        <w:rPr>
          <w:lang w:val="en-ID"/>
        </w:rPr>
      </w:pPr>
      <w:r w:rsidRPr="00BB38AD">
        <w:rPr>
          <w:lang w:val="en-ID"/>
        </w:rPr>
        <w:t>For the furan-containing sensitizers, the calculated energy gap decreases to 3.498 eV for GFB and 3.375 eV for GFS, corresponding to reductions of 0.378 and 0.501 eV relative to pristine galangin, respectively. A stronger reduction is obtained with the thiophene spacer, where GTB and GTS exhibit gaps of 3.304 and 3.199 eV, respectively. The trend on energy-gap reduction with respect to sensitizer is thus GTS &gt; GTB &gt; GFS &gt; GFB, with GTS showing the largest reduction of 0.677 eV, corresponding to approximately 17.5% relative to pristine galangin.</w:t>
      </w:r>
    </w:p>
    <w:p w14:paraId="6CDA2347" w14:textId="77777777" w:rsidR="00E949C2" w:rsidRPr="00BB38AD" w:rsidRDefault="00E949C2" w:rsidP="00E949C2">
      <w:pPr>
        <w:rPr>
          <w:lang w:val="en-ID"/>
        </w:rPr>
      </w:pPr>
      <w:r w:rsidRPr="00BB38AD">
        <w:rPr>
          <w:lang w:val="en-ID"/>
        </w:rPr>
        <w:t>The reduction in the HOMO–LUMO gap originates from simultaneous changes in the HOMO and LUMO levels, although the stabilization of the LUMO is particularly prominent. The LUMO decreases systematically from −1.812 eV in G to −2.015, −2.033, −2.301, and −2.364 eV for GFB, GFS, GTB, and GTS, respectively, whereas the HOMO energies vary within a narrower range of −5.408 to −5.605 eV for the modified molecules. This indicates that the terminal modification has a stronger influence on the unoccupied frontier states than on the occupied states, consistent with the FMO distributions showing increased LUMO density toward the spacer–acceptor region.</w:t>
      </w:r>
    </w:p>
    <w:p w14:paraId="6EBBE79B" w14:textId="77777777" w:rsidR="00E949C2" w:rsidRPr="00BB38AD" w:rsidRDefault="00E949C2" w:rsidP="00E949C2">
      <w:pPr>
        <w:ind w:firstLine="0"/>
        <w:rPr>
          <w:lang w:val="en-ID"/>
        </w:rPr>
      </w:pPr>
    </w:p>
    <w:p w14:paraId="68AF7F2A" w14:textId="6DAC3F63" w:rsidR="007E7622" w:rsidRPr="00BB38AD" w:rsidRDefault="007E7622" w:rsidP="00880B2B">
      <w:pPr>
        <w:ind w:firstLine="0"/>
        <w:jc w:val="center"/>
        <w:rPr>
          <w:lang w:val="en-ID"/>
        </w:rPr>
      </w:pPr>
      <w:r w:rsidRPr="00BB38AD">
        <w:rPr>
          <w:noProof/>
          <w:lang w:val="en-ID"/>
        </w:rPr>
        <w:lastRenderedPageBreak/>
        <w:drawing>
          <wp:inline distT="0" distB="0" distL="0" distR="0" wp14:anchorId="2D2343E8" wp14:editId="5DAA2F4A">
            <wp:extent cx="4392930" cy="2513965"/>
            <wp:effectExtent l="0" t="0" r="7620" b="635"/>
            <wp:docPr id="12340565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056537" name=""/>
                    <pic:cNvPicPr/>
                  </pic:nvPicPr>
                  <pic:blipFill>
                    <a:blip r:embed="rId12"/>
                    <a:stretch>
                      <a:fillRect/>
                    </a:stretch>
                  </pic:blipFill>
                  <pic:spPr>
                    <a:xfrm>
                      <a:off x="0" y="0"/>
                      <a:ext cx="4392930" cy="2513965"/>
                    </a:xfrm>
                    <a:prstGeom prst="rect">
                      <a:avLst/>
                    </a:prstGeom>
                  </pic:spPr>
                </pic:pic>
              </a:graphicData>
            </a:graphic>
          </wp:inline>
        </w:drawing>
      </w:r>
    </w:p>
    <w:p w14:paraId="051FC5E7" w14:textId="77777777" w:rsidR="00880B2B" w:rsidRPr="00BB38AD" w:rsidRDefault="00880B2B" w:rsidP="0004531F">
      <w:pPr>
        <w:spacing w:before="240"/>
        <w:ind w:firstLine="0"/>
      </w:pPr>
      <w:r w:rsidRPr="00BB38AD">
        <w:t>Fig 4. Frontier molecular orbital energy-level diagram of pristine galangin (G) and the designed galangin-based sensitizers GFB, GFS, GTB, and GTS. The HOMO and LUMO levels are highlighted in red and blue, respectively, while the corresponding HOMO–LUMO energy gaps are indicated by the dashed lines.</w:t>
      </w:r>
    </w:p>
    <w:p w14:paraId="7943CA80" w14:textId="77777777" w:rsidR="00880B2B" w:rsidRPr="00BB38AD" w:rsidRDefault="00880B2B" w:rsidP="0004531F">
      <w:pPr>
        <w:spacing w:before="240"/>
        <w:ind w:firstLine="0"/>
        <w:rPr>
          <w:lang w:val="en-ID"/>
        </w:rPr>
      </w:pPr>
    </w:p>
    <w:p w14:paraId="75A50EC4" w14:textId="77777777" w:rsidR="0099186D" w:rsidRPr="00BB38AD" w:rsidRDefault="0099186D" w:rsidP="0099186D">
      <w:pPr>
        <w:rPr>
          <w:lang w:val="en-ID"/>
        </w:rPr>
      </w:pPr>
      <w:r w:rsidRPr="00BB38AD">
        <w:rPr>
          <w:lang w:val="en-ID"/>
        </w:rPr>
        <w:t>A clear spacer-dependent trend can also be identified. For the same terminal acceptor, replacing furan with thiophene reduces the gap from 3.498 to 3.304 eV for GFB → GTB and from 3.375 to 3.199 eV for GFS → GTS. It can be inferred that the thiophene spacer is more effective than furan in narrowing the frontier-orbital gap for both acceptor combinations. Similarly, for a fixed spacer, the ethyl cyanoacetate (S) acceptor yields a lower gap than 4-ethynylbenzoic acid (B), as shown by GFS &lt; GFB and GTS &lt; GTB.</w:t>
      </w:r>
    </w:p>
    <w:p w14:paraId="6DC24D29" w14:textId="46B5E00A" w:rsidR="001830DE" w:rsidRPr="00BB38AD" w:rsidRDefault="00FB044E" w:rsidP="001830DE">
      <w:pPr>
        <w:rPr>
          <w:lang w:val="en-ID"/>
        </w:rPr>
      </w:pPr>
      <w:r w:rsidRPr="00BB38AD">
        <w:t xml:space="preserve">Both the π-spacer and acceptor therefore contribute to the reduction in </w:t>
      </w:r>
      <m:oMath>
        <m:sSub>
          <m:sSubPr>
            <m:ctrlPr>
              <w:rPr>
                <w:rFonts w:ascii="Cambria Math" w:hAnsi="Cambria Math"/>
              </w:rPr>
            </m:ctrlPr>
          </m:sSubPr>
          <m:e>
            <m:r>
              <w:rPr>
                <w:rFonts w:ascii="Cambria Math" w:hAnsi="Cambria Math"/>
              </w:rPr>
              <m:t>E</m:t>
            </m:r>
          </m:e>
          <m:sub>
            <m:r>
              <w:rPr>
                <w:rFonts w:ascii="Cambria Math" w:hAnsi="Cambria Math"/>
              </w:rPr>
              <m:t>g</m:t>
            </m:r>
          </m:sub>
        </m:sSub>
      </m:oMath>
      <w:r w:rsidRPr="00BB38AD">
        <w:t>.</w:t>
      </w:r>
      <w:r w:rsidR="001830DE" w:rsidRPr="00BB38AD">
        <w:rPr>
          <w:lang w:val="en-ID"/>
        </w:rPr>
        <w:t xml:space="preserve"> Thiophene is more effective than furan in narrowing the frontier-orbital gap, while ethyl cyanoacetate provides an additional reduction relative to the 4-ethynylbenzoic acid acceptor. Consequently, the thiophene–ethyl cyanoacetate combination in GTS produces the smallest HOMO–LUMO gap among the investigated sensitizers.</w:t>
      </w:r>
    </w:p>
    <w:p w14:paraId="787A58C9" w14:textId="2860EEA0" w:rsidR="001E3C0E" w:rsidRPr="00BB38AD" w:rsidRDefault="001E3C0E" w:rsidP="001830DE">
      <w:r w:rsidRPr="00BB38AD">
        <w:t>Energy-level alignment with TiO2 and the I</w:t>
      </w:r>
      <w:r w:rsidRPr="00BB38AD">
        <w:rPr>
          <w:vertAlign w:val="superscript"/>
        </w:rPr>
        <w:t>−</w:t>
      </w:r>
      <w:r w:rsidRPr="00BB38AD">
        <w:t>/I</w:t>
      </w:r>
      <w:r w:rsidRPr="00BB38AD">
        <w:rPr>
          <w:vertAlign w:val="subscript"/>
        </w:rPr>
        <w:t>3</w:t>
      </w:r>
      <w:r w:rsidRPr="00BB38AD">
        <w:rPr>
          <w:vertAlign w:val="superscript"/>
        </w:rPr>
        <w:t>−</w:t>
      </w:r>
      <w:r w:rsidRPr="00BB38AD">
        <w:t xml:space="preserve"> redox electrolyte was further examined to evaluate the feasibility of the designed sensitizers for DSSC application. The LUMO energies of G, GFB, GFS, GTB, and GTS range from −1.812 to −2.364 eV, all located above the TiO2 conduction-band edge (−4.0 eV), with LUMO–CB offsets of 1.636</w:t>
      </w:r>
      <w:r w:rsidR="00B270AD" w:rsidRPr="00BB38AD">
        <w:t xml:space="preserve"> </w:t>
      </w:r>
      <w:r w:rsidRPr="00BB38AD">
        <w:t>–</w:t>
      </w:r>
      <w:r w:rsidR="00B270AD" w:rsidRPr="00BB38AD">
        <w:t xml:space="preserve"> </w:t>
      </w:r>
      <w:r w:rsidRPr="00BB38AD">
        <w:t>2.188 eV. This indicates that electron injection from the excited sensitizer into the TiO2 conduction band is energetically favorable for all five molecules. The HOMO energies, in the range of −5.408 to −5.688 eV, lie below the I</w:t>
      </w:r>
      <w:r w:rsidRPr="00BB38AD">
        <w:rPr>
          <w:vertAlign w:val="superscript"/>
        </w:rPr>
        <w:t>−</w:t>
      </w:r>
      <w:r w:rsidRPr="00BB38AD">
        <w:t>/I</w:t>
      </w:r>
      <w:r w:rsidRPr="00BB38AD">
        <w:rPr>
          <w:vertAlign w:val="subscript"/>
        </w:rPr>
        <w:t>3</w:t>
      </w:r>
      <w:r w:rsidRPr="00BB38AD">
        <w:rPr>
          <w:vertAlign w:val="superscript"/>
        </w:rPr>
        <w:t>−</w:t>
      </w:r>
      <w:r w:rsidRPr="00BB38AD">
        <w:t xml:space="preserve"> redox potential (−4.8 eV), with offsets of 0.608</w:t>
      </w:r>
      <w:r w:rsidR="00B270AD" w:rsidRPr="00BB38AD">
        <w:t xml:space="preserve"> </w:t>
      </w:r>
      <w:r w:rsidRPr="00BB38AD">
        <w:t>–</w:t>
      </w:r>
      <w:r w:rsidR="00B270AD" w:rsidRPr="00BB38AD">
        <w:t xml:space="preserve"> </w:t>
      </w:r>
      <w:r w:rsidRPr="00BB38AD">
        <w:t>0.888 eV, indicating that dye regeneration by the redox electrolyte is thermodynamically feasible.</w:t>
      </w:r>
    </w:p>
    <w:p w14:paraId="79C3FF21" w14:textId="77777777" w:rsidR="00FB044E" w:rsidRPr="00BB38AD" w:rsidRDefault="00FB044E" w:rsidP="001830DE">
      <w:pPr>
        <w:rPr>
          <w:lang w:val="en-ID"/>
        </w:rPr>
      </w:pPr>
    </w:p>
    <w:p w14:paraId="1E5B6E84" w14:textId="7FAFACF6" w:rsidR="00485F0A" w:rsidRPr="00BB38AD" w:rsidRDefault="00485F0A" w:rsidP="00485F0A">
      <w:pPr>
        <w:spacing w:after="240"/>
        <w:ind w:firstLine="0"/>
        <w:rPr>
          <w:lang w:val="en-ID"/>
        </w:rPr>
      </w:pPr>
      <w:r w:rsidRPr="00BB38AD">
        <w:rPr>
          <w:b/>
          <w:bCs/>
          <w:lang w:val="en-ID"/>
        </w:rPr>
        <w:lastRenderedPageBreak/>
        <w:t>3.3. Molecular Dipole Moment and Charge-Separation</w:t>
      </w:r>
    </w:p>
    <w:p w14:paraId="11455502" w14:textId="3A194BC0" w:rsidR="00A9219E" w:rsidRPr="00BB38AD" w:rsidRDefault="00A9219E" w:rsidP="00A9219E">
      <w:pPr>
        <w:ind w:firstLine="0"/>
        <w:rPr>
          <w:lang w:val="en-ID"/>
        </w:rPr>
      </w:pPr>
      <w:r w:rsidRPr="00BB38AD">
        <w:rPr>
          <w:lang w:val="en-ID"/>
        </w:rPr>
        <w:t xml:space="preserve">The calculated dipole moments (μ) are listed in table </w:t>
      </w:r>
      <w:r w:rsidR="00A52B10">
        <w:rPr>
          <w:lang w:val="en-ID"/>
        </w:rPr>
        <w:t>2</w:t>
      </w:r>
      <w:r w:rsidRPr="00BB38AD">
        <w:rPr>
          <w:lang w:val="en-ID"/>
        </w:rPr>
        <w:t xml:space="preserve"> and show that π-spacer–acceptor modification significantly affects the molecular polarization of the galangin derivatives. The dipole moment changes from 6.679 D for G to 6.627, 9.626, 8.687, and 15.125 D for GFB, GFS, GTB, and GTS, respectively, following the order GTS &gt; GFS &gt; GTB &gt; G &gt; GFB.</w:t>
      </w:r>
    </w:p>
    <w:p w14:paraId="2BDAEAA5" w14:textId="0081CBDE" w:rsidR="00A9219E" w:rsidRPr="00BB38AD" w:rsidRDefault="00A9219E" w:rsidP="00A9219E">
      <w:pPr>
        <w:rPr>
          <w:lang w:val="en-ID"/>
        </w:rPr>
      </w:pPr>
      <w:r w:rsidRPr="00BB38AD">
        <w:rPr>
          <w:lang w:val="en-ID"/>
        </w:rPr>
        <w:t>The S-containing derivatives exhibit substantially higher dipole moments than their B counterparts. By replacing B with S increases the dipole moment from 6.627 to 9.626 D in the furan series and from 8.687 to 15.125 D in the thiophene series. The exceptionally high value obtained for GTS indicates that the T–S combination produces the strongest ground-state molecular polarization, suggesting a cooperative effect between the π-spacer and terminal acceptor.</w:t>
      </w:r>
    </w:p>
    <w:p w14:paraId="08688945" w14:textId="77777777" w:rsidR="00A9219E" w:rsidRPr="00BB38AD" w:rsidRDefault="00A9219E" w:rsidP="00A9219E">
      <w:pPr>
        <w:rPr>
          <w:lang w:val="en-ID"/>
        </w:rPr>
      </w:pPr>
      <w:r w:rsidRPr="00BB38AD">
        <w:rPr>
          <w:lang w:val="en-ID"/>
        </w:rPr>
        <w:t>A larger molecular dipole may favor directional charge redistribution upon photoexcitation and potentially reduce electron–hole overlap, which could suppress recombination. GTS emerges as the most strongly polarized sensitizer, combining the highest dipole moment (15.125 D) with the smallest HOMO–LUMO gap (3.199 eV).</w:t>
      </w:r>
    </w:p>
    <w:p w14:paraId="5E8DDDBD" w14:textId="77777777" w:rsidR="00485F0A" w:rsidRPr="00BB38AD" w:rsidRDefault="00485F0A" w:rsidP="001830DE">
      <w:pPr>
        <w:rPr>
          <w:lang w:val="en-ID"/>
        </w:rPr>
      </w:pPr>
    </w:p>
    <w:p w14:paraId="52170E49" w14:textId="7B118A06" w:rsidR="001830DE" w:rsidRPr="00BB38AD" w:rsidRDefault="001830DE" w:rsidP="001830DE">
      <w:pPr>
        <w:spacing w:after="240"/>
        <w:ind w:firstLine="0"/>
        <w:rPr>
          <w:b/>
          <w:bCs/>
          <w:lang w:val="en-ID"/>
        </w:rPr>
      </w:pPr>
      <w:r w:rsidRPr="00BB38AD">
        <w:rPr>
          <w:b/>
          <w:bCs/>
          <w:lang w:val="en-ID"/>
        </w:rPr>
        <w:t>3.</w:t>
      </w:r>
      <w:r w:rsidR="00485F0A" w:rsidRPr="00BB38AD">
        <w:rPr>
          <w:b/>
          <w:bCs/>
          <w:lang w:val="en-ID"/>
        </w:rPr>
        <w:t>4</w:t>
      </w:r>
      <w:r w:rsidRPr="00BB38AD">
        <w:rPr>
          <w:b/>
          <w:bCs/>
          <w:lang w:val="en-ID"/>
        </w:rPr>
        <w:t>. TD-DFT Electronic Excitations</w:t>
      </w:r>
    </w:p>
    <w:p w14:paraId="266BE06C" w14:textId="73025C5D" w:rsidR="00282E41" w:rsidRPr="00BB38AD" w:rsidRDefault="001830DE" w:rsidP="001830DE">
      <w:pPr>
        <w:ind w:firstLine="0"/>
        <w:rPr>
          <w:lang w:val="en-ID"/>
        </w:rPr>
      </w:pPr>
      <w:r w:rsidRPr="00BB38AD">
        <w:rPr>
          <w:lang w:val="en-ID"/>
        </w:rPr>
        <w:t xml:space="preserve">The calculated electronic excitation parameters for </w:t>
      </w:r>
      <w:r w:rsidR="00D5293F" w:rsidRPr="00BB38AD">
        <w:rPr>
          <w:lang w:val="en-ID"/>
        </w:rPr>
        <w:t>the</w:t>
      </w:r>
      <w:r w:rsidRPr="00BB38AD">
        <w:rPr>
          <w:lang w:val="en-ID"/>
        </w:rPr>
        <w:t xml:space="preserve"> low-energy absorption transitions are summarized in Table </w:t>
      </w:r>
      <w:r w:rsidR="00017C04" w:rsidRPr="00BB38AD">
        <w:rPr>
          <w:lang w:val="en-ID"/>
        </w:rPr>
        <w:t>3</w:t>
      </w:r>
      <w:r w:rsidRPr="00BB38AD">
        <w:rPr>
          <w:lang w:val="en-ID"/>
        </w:rPr>
        <w:t>. Pristine galangin exhibits an excitation at 310.7 nm (3.991 eV), dominated by the HOMO→LUMO transition with a contribution of 92.5%. The strong dominance of a single frontier-orbital transition is consistent with the FMO distribution of G, in which the HOMO and LUMO are both located predominantly over the galangin framework.</w:t>
      </w:r>
      <w:r w:rsidR="00282E41" w:rsidRPr="00BB38AD">
        <w:rPr>
          <w:lang w:val="en-ID"/>
        </w:rPr>
        <w:t xml:space="preserve"> </w:t>
      </w:r>
    </w:p>
    <w:p w14:paraId="7AE07DDB" w14:textId="77777777" w:rsidR="00A9219E" w:rsidRPr="00BB38AD" w:rsidRDefault="00A9219E" w:rsidP="001830DE">
      <w:pPr>
        <w:ind w:firstLine="0"/>
        <w:rPr>
          <w:lang w:val="en-ID"/>
        </w:rPr>
      </w:pPr>
    </w:p>
    <w:p w14:paraId="7AF7A2FA" w14:textId="04ACFDDE" w:rsidR="00282E41" w:rsidRPr="00BB38AD" w:rsidRDefault="00282E41" w:rsidP="00017B50">
      <w:pPr>
        <w:ind w:firstLine="0"/>
      </w:pPr>
      <w:r w:rsidRPr="00BB38AD">
        <w:t xml:space="preserve">Table </w:t>
      </w:r>
      <w:r w:rsidR="00017C04" w:rsidRPr="00BB38AD">
        <w:t>3</w:t>
      </w:r>
      <w:r w:rsidRPr="00BB38AD">
        <w:t>. TD-DFT calculated electronic excitation energies, absorption wavelengths, oscillator strengths, dominant electronic transitions, and light-harvesting efficiencies (LHE) of pristine galangin (G) and the designed galangin-based sensitizers.</w:t>
      </w:r>
    </w:p>
    <w:tbl>
      <w:tblPr>
        <w:tblW w:w="5000" w:type="pct"/>
        <w:tblBorders>
          <w:top w:val="single" w:sz="4" w:space="0" w:color="auto"/>
          <w:bottom w:val="single" w:sz="4" w:space="0" w:color="auto"/>
        </w:tblBorders>
        <w:tblLook w:val="04A0" w:firstRow="1" w:lastRow="0" w:firstColumn="1" w:lastColumn="0" w:noHBand="0" w:noVBand="1"/>
      </w:tblPr>
      <w:tblGrid>
        <w:gridCol w:w="843"/>
        <w:gridCol w:w="790"/>
        <w:gridCol w:w="787"/>
        <w:gridCol w:w="801"/>
        <w:gridCol w:w="3001"/>
        <w:gridCol w:w="696"/>
      </w:tblGrid>
      <w:tr w:rsidR="00282E41" w:rsidRPr="00BB38AD" w14:paraId="4197B335" w14:textId="77777777" w:rsidTr="00A9219E">
        <w:trPr>
          <w:trHeight w:val="576"/>
        </w:trPr>
        <w:tc>
          <w:tcPr>
            <w:tcW w:w="609" w:type="pct"/>
            <w:tcBorders>
              <w:top w:val="single" w:sz="4" w:space="0" w:color="auto"/>
              <w:bottom w:val="single" w:sz="4" w:space="0" w:color="auto"/>
            </w:tcBorders>
            <w:vAlign w:val="center"/>
            <w:hideMark/>
          </w:tcPr>
          <w:p w14:paraId="05FE33F6" w14:textId="5A809323" w:rsidR="00282E41" w:rsidRPr="00BB38AD" w:rsidRDefault="00017B50">
            <w:pPr>
              <w:overflowPunct/>
              <w:autoSpaceDE/>
              <w:autoSpaceDN/>
              <w:adjustRightInd/>
              <w:spacing w:line="240" w:lineRule="auto"/>
              <w:ind w:firstLine="0"/>
              <w:jc w:val="center"/>
              <w:textAlignment w:val="auto"/>
              <w:rPr>
                <w:b/>
                <w:bCs/>
                <w:color w:val="000000"/>
                <w:lang w:val="en-ID" w:eastAsia="en-ID"/>
              </w:rPr>
            </w:pPr>
            <w:r w:rsidRPr="00BB38AD">
              <w:rPr>
                <w:b/>
                <w:bCs/>
                <w:color w:val="000000"/>
                <w:lang w:val="en-ID" w:eastAsia="en-ID"/>
              </w:rPr>
              <w:t>Molecules</w:t>
            </w:r>
          </w:p>
        </w:tc>
        <w:tc>
          <w:tcPr>
            <w:tcW w:w="571" w:type="pct"/>
            <w:tcBorders>
              <w:top w:val="single" w:sz="4" w:space="0" w:color="auto"/>
              <w:bottom w:val="single" w:sz="4" w:space="0" w:color="auto"/>
            </w:tcBorders>
            <w:vAlign w:val="center"/>
            <w:hideMark/>
          </w:tcPr>
          <w:p w14:paraId="041C2556" w14:textId="77777777" w:rsidR="00282E41" w:rsidRPr="00BB38AD" w:rsidRDefault="00282E41">
            <w:pPr>
              <w:overflowPunct/>
              <w:autoSpaceDE/>
              <w:autoSpaceDN/>
              <w:adjustRightInd/>
              <w:spacing w:line="240" w:lineRule="auto"/>
              <w:ind w:firstLine="0"/>
              <w:jc w:val="center"/>
              <w:textAlignment w:val="auto"/>
              <w:rPr>
                <w:b/>
                <w:bCs/>
                <w:color w:val="000000"/>
                <w:lang w:val="en-ID" w:eastAsia="en-ID"/>
              </w:rPr>
            </w:pPr>
            <w:r w:rsidRPr="00BB38AD">
              <w:rPr>
                <w:b/>
                <w:bCs/>
                <w:color w:val="000000"/>
                <w:lang w:val="en-ID" w:eastAsia="en-ID"/>
              </w:rPr>
              <w:t>E (eV)</w:t>
            </w:r>
          </w:p>
        </w:tc>
        <w:tc>
          <w:tcPr>
            <w:tcW w:w="569" w:type="pct"/>
            <w:tcBorders>
              <w:top w:val="single" w:sz="4" w:space="0" w:color="auto"/>
              <w:bottom w:val="single" w:sz="4" w:space="0" w:color="auto"/>
            </w:tcBorders>
            <w:vAlign w:val="center"/>
            <w:hideMark/>
          </w:tcPr>
          <w:p w14:paraId="46D0F3DD" w14:textId="77777777" w:rsidR="00282E41" w:rsidRPr="00BB38AD" w:rsidRDefault="00282E41">
            <w:pPr>
              <w:overflowPunct/>
              <w:autoSpaceDE/>
              <w:autoSpaceDN/>
              <w:adjustRightInd/>
              <w:spacing w:line="240" w:lineRule="auto"/>
              <w:ind w:firstLine="0"/>
              <w:jc w:val="center"/>
              <w:textAlignment w:val="auto"/>
              <w:rPr>
                <w:b/>
                <w:bCs/>
                <w:color w:val="000000"/>
                <w:lang w:val="en-ID" w:eastAsia="en-ID"/>
              </w:rPr>
            </w:pPr>
            <w:r w:rsidRPr="00BB38AD">
              <w:rPr>
                <w:b/>
                <w:bCs/>
                <w:color w:val="000000"/>
                <w:lang w:val="en-ID" w:eastAsia="en-ID"/>
              </w:rPr>
              <w:t>λ (nm)</w:t>
            </w:r>
          </w:p>
        </w:tc>
        <w:tc>
          <w:tcPr>
            <w:tcW w:w="579" w:type="pct"/>
            <w:tcBorders>
              <w:top w:val="single" w:sz="4" w:space="0" w:color="auto"/>
              <w:bottom w:val="single" w:sz="4" w:space="0" w:color="auto"/>
            </w:tcBorders>
            <w:vAlign w:val="center"/>
            <w:hideMark/>
          </w:tcPr>
          <w:p w14:paraId="592831C9" w14:textId="77777777" w:rsidR="00282E41" w:rsidRPr="00BB38AD" w:rsidRDefault="00282E41">
            <w:pPr>
              <w:overflowPunct/>
              <w:autoSpaceDE/>
              <w:autoSpaceDN/>
              <w:adjustRightInd/>
              <w:spacing w:line="240" w:lineRule="auto"/>
              <w:ind w:firstLine="0"/>
              <w:jc w:val="center"/>
              <w:textAlignment w:val="auto"/>
              <w:rPr>
                <w:b/>
                <w:bCs/>
                <w:color w:val="000000"/>
                <w:lang w:val="en-ID" w:eastAsia="en-ID"/>
              </w:rPr>
            </w:pPr>
            <w:r w:rsidRPr="00BB38AD">
              <w:rPr>
                <w:b/>
                <w:bCs/>
                <w:color w:val="000000"/>
                <w:lang w:val="en-ID" w:eastAsia="en-ID"/>
              </w:rPr>
              <w:t>f</w:t>
            </w:r>
          </w:p>
        </w:tc>
        <w:tc>
          <w:tcPr>
            <w:tcW w:w="2169" w:type="pct"/>
            <w:tcBorders>
              <w:top w:val="single" w:sz="4" w:space="0" w:color="auto"/>
              <w:bottom w:val="single" w:sz="4" w:space="0" w:color="auto"/>
            </w:tcBorders>
            <w:vAlign w:val="center"/>
            <w:hideMark/>
          </w:tcPr>
          <w:p w14:paraId="760AD750" w14:textId="77777777" w:rsidR="00282E41" w:rsidRPr="00BB38AD" w:rsidRDefault="00282E41">
            <w:pPr>
              <w:overflowPunct/>
              <w:autoSpaceDE/>
              <w:autoSpaceDN/>
              <w:adjustRightInd/>
              <w:spacing w:line="240" w:lineRule="auto"/>
              <w:ind w:firstLine="0"/>
              <w:jc w:val="center"/>
              <w:textAlignment w:val="auto"/>
              <w:rPr>
                <w:b/>
                <w:bCs/>
                <w:color w:val="000000"/>
                <w:lang w:val="en-ID" w:eastAsia="en-ID"/>
              </w:rPr>
            </w:pPr>
            <w:r w:rsidRPr="00BB38AD">
              <w:rPr>
                <w:b/>
                <w:bCs/>
                <w:color w:val="000000"/>
                <w:lang w:val="en-ID" w:eastAsia="en-ID"/>
              </w:rPr>
              <w:t>Dominant transition</w:t>
            </w:r>
          </w:p>
        </w:tc>
        <w:tc>
          <w:tcPr>
            <w:tcW w:w="503" w:type="pct"/>
            <w:tcBorders>
              <w:top w:val="single" w:sz="4" w:space="0" w:color="auto"/>
              <w:bottom w:val="single" w:sz="4" w:space="0" w:color="auto"/>
            </w:tcBorders>
            <w:vAlign w:val="center"/>
            <w:hideMark/>
          </w:tcPr>
          <w:p w14:paraId="18F31C77" w14:textId="77777777" w:rsidR="00282E41" w:rsidRPr="00BB38AD" w:rsidRDefault="00282E41">
            <w:pPr>
              <w:overflowPunct/>
              <w:autoSpaceDE/>
              <w:autoSpaceDN/>
              <w:adjustRightInd/>
              <w:spacing w:line="240" w:lineRule="auto"/>
              <w:ind w:firstLine="0"/>
              <w:jc w:val="center"/>
              <w:textAlignment w:val="auto"/>
              <w:rPr>
                <w:b/>
                <w:bCs/>
                <w:color w:val="000000"/>
                <w:lang w:val="en-ID" w:eastAsia="en-ID"/>
              </w:rPr>
            </w:pPr>
            <w:r w:rsidRPr="00BB38AD">
              <w:rPr>
                <w:b/>
                <w:bCs/>
                <w:color w:val="000000"/>
                <w:lang w:val="en-ID" w:eastAsia="en-ID"/>
              </w:rPr>
              <w:t>LHE</w:t>
            </w:r>
          </w:p>
        </w:tc>
      </w:tr>
      <w:tr w:rsidR="00282E41" w:rsidRPr="00BB38AD" w14:paraId="0D0D302A" w14:textId="77777777" w:rsidTr="00A9219E">
        <w:trPr>
          <w:trHeight w:val="288"/>
        </w:trPr>
        <w:tc>
          <w:tcPr>
            <w:tcW w:w="609" w:type="pct"/>
            <w:tcBorders>
              <w:top w:val="single" w:sz="4" w:space="0" w:color="auto"/>
            </w:tcBorders>
            <w:vAlign w:val="center"/>
            <w:hideMark/>
          </w:tcPr>
          <w:p w14:paraId="73C2D802" w14:textId="77777777" w:rsidR="00282E41" w:rsidRPr="00BB38AD" w:rsidRDefault="00282E41">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G</w:t>
            </w:r>
          </w:p>
        </w:tc>
        <w:tc>
          <w:tcPr>
            <w:tcW w:w="571" w:type="pct"/>
            <w:tcBorders>
              <w:top w:val="single" w:sz="4" w:space="0" w:color="auto"/>
            </w:tcBorders>
            <w:vAlign w:val="center"/>
            <w:hideMark/>
          </w:tcPr>
          <w:p w14:paraId="14E5CA2D"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3.991</w:t>
            </w:r>
          </w:p>
        </w:tc>
        <w:tc>
          <w:tcPr>
            <w:tcW w:w="569" w:type="pct"/>
            <w:tcBorders>
              <w:top w:val="single" w:sz="4" w:space="0" w:color="auto"/>
            </w:tcBorders>
            <w:vAlign w:val="center"/>
            <w:hideMark/>
          </w:tcPr>
          <w:p w14:paraId="4E89E728"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310.7</w:t>
            </w:r>
          </w:p>
        </w:tc>
        <w:tc>
          <w:tcPr>
            <w:tcW w:w="579" w:type="pct"/>
            <w:tcBorders>
              <w:top w:val="single" w:sz="4" w:space="0" w:color="auto"/>
            </w:tcBorders>
            <w:vAlign w:val="center"/>
            <w:hideMark/>
          </w:tcPr>
          <w:p w14:paraId="1B75B5F6" w14:textId="218C53DE"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0.71</w:t>
            </w:r>
            <w:r w:rsidR="00753343" w:rsidRPr="00BB38AD">
              <w:rPr>
                <w:color w:val="000000"/>
                <w:lang w:val="en-ID" w:eastAsia="en-ID"/>
              </w:rPr>
              <w:t>1</w:t>
            </w:r>
          </w:p>
        </w:tc>
        <w:tc>
          <w:tcPr>
            <w:tcW w:w="2169" w:type="pct"/>
            <w:tcBorders>
              <w:top w:val="single" w:sz="4" w:space="0" w:color="auto"/>
            </w:tcBorders>
            <w:vAlign w:val="center"/>
            <w:hideMark/>
          </w:tcPr>
          <w:p w14:paraId="0DD25C56"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H→L (92.5%)</w:t>
            </w:r>
          </w:p>
        </w:tc>
        <w:tc>
          <w:tcPr>
            <w:tcW w:w="503" w:type="pct"/>
            <w:tcBorders>
              <w:top w:val="single" w:sz="4" w:space="0" w:color="auto"/>
            </w:tcBorders>
            <w:vAlign w:val="center"/>
            <w:hideMark/>
          </w:tcPr>
          <w:p w14:paraId="5A2D0B09"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0.805</w:t>
            </w:r>
          </w:p>
        </w:tc>
      </w:tr>
      <w:tr w:rsidR="00282E41" w:rsidRPr="00BB38AD" w14:paraId="68E45DC6" w14:textId="77777777" w:rsidTr="00A9219E">
        <w:trPr>
          <w:trHeight w:val="288"/>
        </w:trPr>
        <w:tc>
          <w:tcPr>
            <w:tcW w:w="609" w:type="pct"/>
            <w:vAlign w:val="center"/>
            <w:hideMark/>
          </w:tcPr>
          <w:p w14:paraId="4DFD7135" w14:textId="77777777" w:rsidR="00282E41" w:rsidRPr="00BB38AD" w:rsidRDefault="00282E41">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GFB</w:t>
            </w:r>
          </w:p>
        </w:tc>
        <w:tc>
          <w:tcPr>
            <w:tcW w:w="571" w:type="pct"/>
            <w:vAlign w:val="center"/>
            <w:hideMark/>
          </w:tcPr>
          <w:p w14:paraId="0EECCFB4"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3.771</w:t>
            </w:r>
          </w:p>
        </w:tc>
        <w:tc>
          <w:tcPr>
            <w:tcW w:w="569" w:type="pct"/>
            <w:vAlign w:val="center"/>
            <w:hideMark/>
          </w:tcPr>
          <w:p w14:paraId="2DE8F0E0"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328.8</w:t>
            </w:r>
          </w:p>
        </w:tc>
        <w:tc>
          <w:tcPr>
            <w:tcW w:w="579" w:type="pct"/>
            <w:vAlign w:val="center"/>
            <w:hideMark/>
          </w:tcPr>
          <w:p w14:paraId="5C6D9BF6" w14:textId="1F7A3BD3"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1</w:t>
            </w:r>
            <w:r w:rsidR="00753343" w:rsidRPr="00BB38AD">
              <w:rPr>
                <w:color w:val="000000"/>
                <w:lang w:val="en-ID" w:eastAsia="en-ID"/>
              </w:rPr>
              <w:t>.</w:t>
            </w:r>
            <w:r w:rsidRPr="00BB38AD">
              <w:rPr>
                <w:color w:val="000000"/>
                <w:lang w:val="en-ID" w:eastAsia="en-ID"/>
              </w:rPr>
              <w:t>585</w:t>
            </w:r>
          </w:p>
        </w:tc>
        <w:tc>
          <w:tcPr>
            <w:tcW w:w="2169" w:type="pct"/>
            <w:vAlign w:val="center"/>
            <w:hideMark/>
          </w:tcPr>
          <w:p w14:paraId="74051D5B"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H→L (87.6%)</w:t>
            </w:r>
          </w:p>
        </w:tc>
        <w:tc>
          <w:tcPr>
            <w:tcW w:w="503" w:type="pct"/>
            <w:vAlign w:val="center"/>
            <w:hideMark/>
          </w:tcPr>
          <w:p w14:paraId="034428F8"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0.974</w:t>
            </w:r>
          </w:p>
        </w:tc>
      </w:tr>
      <w:tr w:rsidR="00282E41" w:rsidRPr="00BB38AD" w14:paraId="6F488CA8" w14:textId="77777777" w:rsidTr="00A9219E">
        <w:trPr>
          <w:trHeight w:val="360"/>
        </w:trPr>
        <w:tc>
          <w:tcPr>
            <w:tcW w:w="609" w:type="pct"/>
            <w:vAlign w:val="center"/>
            <w:hideMark/>
          </w:tcPr>
          <w:p w14:paraId="1BEE712A" w14:textId="77777777" w:rsidR="00282E41" w:rsidRPr="00BB38AD" w:rsidRDefault="00282E41">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GFS</w:t>
            </w:r>
          </w:p>
        </w:tc>
        <w:tc>
          <w:tcPr>
            <w:tcW w:w="571" w:type="pct"/>
            <w:vAlign w:val="center"/>
            <w:hideMark/>
          </w:tcPr>
          <w:p w14:paraId="257828E2"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3.592</w:t>
            </w:r>
          </w:p>
        </w:tc>
        <w:tc>
          <w:tcPr>
            <w:tcW w:w="569" w:type="pct"/>
            <w:vAlign w:val="center"/>
            <w:hideMark/>
          </w:tcPr>
          <w:p w14:paraId="0DC52AAA"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345.1</w:t>
            </w:r>
          </w:p>
        </w:tc>
        <w:tc>
          <w:tcPr>
            <w:tcW w:w="579" w:type="pct"/>
            <w:vAlign w:val="center"/>
            <w:hideMark/>
          </w:tcPr>
          <w:p w14:paraId="600276F3" w14:textId="2F55CEC4"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1</w:t>
            </w:r>
            <w:r w:rsidR="00753343" w:rsidRPr="00BB38AD">
              <w:rPr>
                <w:color w:val="000000"/>
                <w:lang w:val="en-ID" w:eastAsia="en-ID"/>
              </w:rPr>
              <w:t>.</w:t>
            </w:r>
            <w:r w:rsidRPr="00BB38AD">
              <w:rPr>
                <w:color w:val="000000"/>
                <w:lang w:val="en-ID" w:eastAsia="en-ID"/>
              </w:rPr>
              <w:t>001</w:t>
            </w:r>
          </w:p>
        </w:tc>
        <w:tc>
          <w:tcPr>
            <w:tcW w:w="2169" w:type="pct"/>
            <w:vAlign w:val="center"/>
            <w:hideMark/>
          </w:tcPr>
          <w:p w14:paraId="599A3526"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H→L (59.4%); H−1→L (34.7%)</w:t>
            </w:r>
          </w:p>
        </w:tc>
        <w:tc>
          <w:tcPr>
            <w:tcW w:w="503" w:type="pct"/>
            <w:vAlign w:val="center"/>
            <w:hideMark/>
          </w:tcPr>
          <w:p w14:paraId="0BF5C9BA"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0.900</w:t>
            </w:r>
          </w:p>
        </w:tc>
      </w:tr>
      <w:tr w:rsidR="00282E41" w:rsidRPr="00BB38AD" w14:paraId="7285422C" w14:textId="77777777" w:rsidTr="00A9219E">
        <w:trPr>
          <w:trHeight w:val="265"/>
        </w:trPr>
        <w:tc>
          <w:tcPr>
            <w:tcW w:w="609" w:type="pct"/>
            <w:vAlign w:val="center"/>
            <w:hideMark/>
          </w:tcPr>
          <w:p w14:paraId="4D48E9B0" w14:textId="77777777" w:rsidR="00282E41" w:rsidRPr="00BB38AD" w:rsidRDefault="00282E41">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GTB</w:t>
            </w:r>
          </w:p>
        </w:tc>
        <w:tc>
          <w:tcPr>
            <w:tcW w:w="571" w:type="pct"/>
            <w:vAlign w:val="center"/>
            <w:hideMark/>
          </w:tcPr>
          <w:p w14:paraId="0139EB12"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3.705</w:t>
            </w:r>
          </w:p>
        </w:tc>
        <w:tc>
          <w:tcPr>
            <w:tcW w:w="569" w:type="pct"/>
            <w:vAlign w:val="center"/>
            <w:hideMark/>
          </w:tcPr>
          <w:p w14:paraId="25FBB4C2"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334.6</w:t>
            </w:r>
          </w:p>
        </w:tc>
        <w:tc>
          <w:tcPr>
            <w:tcW w:w="579" w:type="pct"/>
            <w:vAlign w:val="center"/>
            <w:hideMark/>
          </w:tcPr>
          <w:p w14:paraId="44523831" w14:textId="47BB4D45"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1</w:t>
            </w:r>
            <w:r w:rsidR="00753343" w:rsidRPr="00BB38AD">
              <w:rPr>
                <w:color w:val="000000"/>
                <w:lang w:val="en-ID" w:eastAsia="en-ID"/>
              </w:rPr>
              <w:t>.</w:t>
            </w:r>
            <w:r w:rsidRPr="00BB38AD">
              <w:rPr>
                <w:color w:val="000000"/>
                <w:lang w:val="en-ID" w:eastAsia="en-ID"/>
              </w:rPr>
              <w:t>682</w:t>
            </w:r>
          </w:p>
        </w:tc>
        <w:tc>
          <w:tcPr>
            <w:tcW w:w="2169" w:type="pct"/>
            <w:vAlign w:val="center"/>
            <w:hideMark/>
          </w:tcPr>
          <w:p w14:paraId="21427A3F"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H→L (70.6%); H−1→L (17.6%)</w:t>
            </w:r>
          </w:p>
        </w:tc>
        <w:tc>
          <w:tcPr>
            <w:tcW w:w="503" w:type="pct"/>
            <w:vAlign w:val="center"/>
            <w:hideMark/>
          </w:tcPr>
          <w:p w14:paraId="0E5874CB"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0.979</w:t>
            </w:r>
          </w:p>
        </w:tc>
      </w:tr>
      <w:tr w:rsidR="00282E41" w:rsidRPr="00BB38AD" w14:paraId="07E2AA88" w14:textId="77777777" w:rsidTr="00A9219E">
        <w:trPr>
          <w:trHeight w:val="283"/>
        </w:trPr>
        <w:tc>
          <w:tcPr>
            <w:tcW w:w="609" w:type="pct"/>
            <w:vAlign w:val="center"/>
            <w:hideMark/>
          </w:tcPr>
          <w:p w14:paraId="7D487530" w14:textId="77777777" w:rsidR="00282E41" w:rsidRPr="00BB38AD" w:rsidRDefault="00282E41">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GTS</w:t>
            </w:r>
          </w:p>
        </w:tc>
        <w:tc>
          <w:tcPr>
            <w:tcW w:w="571" w:type="pct"/>
            <w:vAlign w:val="center"/>
            <w:hideMark/>
          </w:tcPr>
          <w:p w14:paraId="5FC49F28"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3.599</w:t>
            </w:r>
          </w:p>
        </w:tc>
        <w:tc>
          <w:tcPr>
            <w:tcW w:w="569" w:type="pct"/>
            <w:vAlign w:val="center"/>
            <w:hideMark/>
          </w:tcPr>
          <w:p w14:paraId="151AB0F4"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344.5</w:t>
            </w:r>
          </w:p>
        </w:tc>
        <w:tc>
          <w:tcPr>
            <w:tcW w:w="579" w:type="pct"/>
            <w:vAlign w:val="center"/>
            <w:hideMark/>
          </w:tcPr>
          <w:p w14:paraId="3C0337F0" w14:textId="10B32020"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1</w:t>
            </w:r>
            <w:r w:rsidR="00753343" w:rsidRPr="00BB38AD">
              <w:rPr>
                <w:color w:val="000000"/>
                <w:lang w:val="en-ID" w:eastAsia="en-ID"/>
              </w:rPr>
              <w:t>.</w:t>
            </w:r>
            <w:r w:rsidRPr="00BB38AD">
              <w:rPr>
                <w:color w:val="000000"/>
                <w:lang w:val="en-ID" w:eastAsia="en-ID"/>
              </w:rPr>
              <w:t>291</w:t>
            </w:r>
          </w:p>
        </w:tc>
        <w:tc>
          <w:tcPr>
            <w:tcW w:w="2169" w:type="pct"/>
            <w:vAlign w:val="center"/>
            <w:hideMark/>
          </w:tcPr>
          <w:p w14:paraId="6285CDF9"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H→L (55.0%); H−1→L (37.1%)</w:t>
            </w:r>
          </w:p>
        </w:tc>
        <w:tc>
          <w:tcPr>
            <w:tcW w:w="503" w:type="pct"/>
            <w:vAlign w:val="center"/>
            <w:hideMark/>
          </w:tcPr>
          <w:p w14:paraId="423BB6DA" w14:textId="77777777" w:rsidR="00282E41" w:rsidRPr="00BB38AD" w:rsidRDefault="00282E41">
            <w:pPr>
              <w:overflowPunct/>
              <w:autoSpaceDE/>
              <w:autoSpaceDN/>
              <w:adjustRightInd/>
              <w:spacing w:line="240" w:lineRule="auto"/>
              <w:ind w:firstLine="0"/>
              <w:jc w:val="center"/>
              <w:textAlignment w:val="auto"/>
              <w:rPr>
                <w:color w:val="000000"/>
                <w:lang w:val="en-ID" w:eastAsia="en-ID"/>
              </w:rPr>
            </w:pPr>
            <w:r w:rsidRPr="00BB38AD">
              <w:rPr>
                <w:color w:val="000000"/>
                <w:lang w:val="en-ID" w:eastAsia="en-ID"/>
              </w:rPr>
              <w:t>0.949</w:t>
            </w:r>
          </w:p>
        </w:tc>
      </w:tr>
    </w:tbl>
    <w:p w14:paraId="4D67D0DE" w14:textId="77777777" w:rsidR="00017B50" w:rsidRPr="00BB38AD" w:rsidRDefault="00017B50" w:rsidP="001830DE">
      <w:pPr>
        <w:rPr>
          <w:lang w:val="en-ID"/>
        </w:rPr>
      </w:pPr>
    </w:p>
    <w:p w14:paraId="68D15C92" w14:textId="7B46278A" w:rsidR="001830DE" w:rsidRPr="00BB38AD" w:rsidRDefault="001830DE" w:rsidP="001830DE">
      <w:pPr>
        <w:rPr>
          <w:lang w:val="en-ID"/>
        </w:rPr>
      </w:pPr>
      <w:r w:rsidRPr="00BB38AD">
        <w:rPr>
          <w:lang w:val="en-ID"/>
        </w:rPr>
        <w:t xml:space="preserve">All designed sensitizers show lower excitation energies and longer absorption wavelengths than pristine galangin. GFB exhibits a transition at 328.8 nm (3.771 eV), predominantly HOMO→LUMO (87.6%). Replacing the B acceptor with S in the same furan-spacer framework shifts the excitation further to 345.1 nm (3.592 eV) for GFS. </w:t>
      </w:r>
      <w:r w:rsidRPr="00BB38AD">
        <w:rPr>
          <w:lang w:val="en-ID"/>
        </w:rPr>
        <w:lastRenderedPageBreak/>
        <w:t>Unlike GFB, however, the GFS excitation has a mixed orbital character consisting of HOMO→LUMO (59.4%) and HOMO−1→LUMO (34.7%).</w:t>
      </w:r>
    </w:p>
    <w:p w14:paraId="42D93F4E" w14:textId="77777777" w:rsidR="001830DE" w:rsidRPr="00BB38AD" w:rsidRDefault="001830DE" w:rsidP="001830DE">
      <w:pPr>
        <w:rPr>
          <w:lang w:val="en-ID"/>
        </w:rPr>
      </w:pPr>
      <w:r w:rsidRPr="00BB38AD">
        <w:rPr>
          <w:lang w:val="en-ID"/>
        </w:rPr>
        <w:t>The thiophene-containing derivatives show a comparable trend. GTB absorbs at 334.6 nm (3.705 eV), with HOMO→LUMO contributing 70.6% and HOMO−1→LUMO contributing 17.6%. Substitution of B by S produces GTS with an absorption maximum at 344.5 nm (3.599 eV), dominated by HOMO→LUMO (55.0%) and HOMO−1→LUMO (37.1%). The increasing involvement of HOMO−1 in GFS and GTS is consistent with their frontier-orbital distributions and suggests that the low-energy absorption of these systems cannot be described solely by a simple HOMO–LUMO excitation.</w:t>
      </w:r>
    </w:p>
    <w:p w14:paraId="789208E3" w14:textId="699682C3" w:rsidR="001830DE" w:rsidRPr="00BB38AD" w:rsidRDefault="001830DE" w:rsidP="001830DE">
      <w:pPr>
        <w:rPr>
          <w:lang w:val="en-ID"/>
        </w:rPr>
      </w:pPr>
      <w:r w:rsidRPr="00BB38AD">
        <w:rPr>
          <w:lang w:val="en-ID"/>
        </w:rPr>
        <w:t>Relative to pristine galangin, the calculated wavelength shifts are approximately +18.1 nm (GFB), +34.4 nm (GFS), +23.9 nm (GTB), and +33.8 nm (GTS). Thus, all molecular modifications produce a bathochromic shift, with GFS and GTS exhibiting the largest displacement toward longer wavelengths.</w:t>
      </w:r>
      <w:r w:rsidR="003B53D8" w:rsidRPr="00BB38AD">
        <w:rPr>
          <w:lang w:val="en-ID"/>
        </w:rPr>
        <w:t xml:space="preserve"> </w:t>
      </w:r>
      <w:r w:rsidRPr="00BB38AD">
        <w:rPr>
          <w:lang w:val="en-ID"/>
        </w:rPr>
        <w:t>An important distinction should be made between the ground-state HOMO–LUMO gap and the TD-DFT excitation energy. Although GTS possesses the smallest orbital gap (3.199 eV), GFS gives a marginally longer calculated principal absorption wavelength (345.1 versus 344.5 nm). Therefore, the HOMO–LUMO gap provides a useful qualitative descriptor of spectral tuning but does not alone determine the exact excitation wavelength. The latter also depends on the configuration mixing and electronic interactions included in the TD-DFT excited state.</w:t>
      </w:r>
    </w:p>
    <w:p w14:paraId="6FE677C9" w14:textId="77777777" w:rsidR="00282E41" w:rsidRPr="00BB38AD" w:rsidRDefault="00282E41" w:rsidP="001830DE">
      <w:pPr>
        <w:rPr>
          <w:lang w:val="en-ID"/>
        </w:rPr>
      </w:pPr>
    </w:p>
    <w:p w14:paraId="156BE819" w14:textId="08161363" w:rsidR="001830DE" w:rsidRPr="00BB38AD" w:rsidRDefault="001830DE" w:rsidP="001830DE">
      <w:pPr>
        <w:spacing w:after="240"/>
        <w:ind w:firstLine="0"/>
        <w:rPr>
          <w:b/>
          <w:bCs/>
          <w:lang w:val="en-ID"/>
        </w:rPr>
      </w:pPr>
      <w:r w:rsidRPr="00BB38AD">
        <w:rPr>
          <w:b/>
          <w:bCs/>
          <w:lang w:val="en-ID"/>
        </w:rPr>
        <w:t>3.</w:t>
      </w:r>
      <w:r w:rsidR="00485F0A" w:rsidRPr="00BB38AD">
        <w:rPr>
          <w:b/>
          <w:bCs/>
          <w:lang w:val="en-ID"/>
        </w:rPr>
        <w:t>5</w:t>
      </w:r>
      <w:r w:rsidRPr="00BB38AD">
        <w:rPr>
          <w:b/>
          <w:bCs/>
          <w:lang w:val="en-ID"/>
        </w:rPr>
        <w:t>. Simulated UV–Vis Absorption and Light-Harvesting Properties</w:t>
      </w:r>
    </w:p>
    <w:p w14:paraId="67B3D5D4" w14:textId="74C0D29C" w:rsidR="001830DE" w:rsidRPr="00BB38AD" w:rsidRDefault="001830DE" w:rsidP="001830DE">
      <w:pPr>
        <w:ind w:firstLine="0"/>
        <w:rPr>
          <w:lang w:val="en-ID"/>
        </w:rPr>
      </w:pPr>
      <w:r w:rsidRPr="00BB38AD">
        <w:rPr>
          <w:lang w:val="en-ID"/>
        </w:rPr>
        <w:t>The simulated UV–Vis spectra in Fig 5 provide further evidence that π-spacer and acceptor modification substantially alters the optical response of galangin. Pristine galangin shows its major low-energy absorption around 310 nm, whereas all four designed sensitizers exhibit enhanced absorption at longer wavelengths. The spectral profiles therefore confirm the bathochromic trend obtained from the discrete TD-DFT transitions.</w:t>
      </w:r>
      <w:r w:rsidR="00D30529" w:rsidRPr="00BB38AD">
        <w:rPr>
          <w:lang w:val="en-ID"/>
        </w:rPr>
        <w:t xml:space="preserve"> </w:t>
      </w:r>
    </w:p>
    <w:p w14:paraId="791F228B" w14:textId="4E236734" w:rsidR="001830DE" w:rsidRPr="00BB38AD" w:rsidRDefault="001830DE" w:rsidP="001830DE">
      <w:pPr>
        <w:rPr>
          <w:lang w:val="en-ID"/>
        </w:rPr>
      </w:pPr>
      <w:r w:rsidRPr="00BB38AD">
        <w:rPr>
          <w:lang w:val="en-ID"/>
        </w:rPr>
        <w:t>The strongest long-wavelength bands of GFB and GTB occur approximately in the 325–335 nm region and exhibit substantially higher absorption intensity than pristine galangin. GFS and GTS shift the absorption further toward approximately 345 nm. Thus, molecular modification simultaneously changes the position and intensity of the absorption bands. The B-containing derivatives, particularly GTB and GFB, show stronger calculated peak intensities, whereas the S-containing systems exhibit the greatest spectral extension toward longer wavelengths.</w:t>
      </w:r>
      <w:r w:rsidR="00D6311D" w:rsidRPr="00BB38AD">
        <w:rPr>
          <w:lang w:val="en-ID"/>
        </w:rPr>
        <w:t xml:space="preserve"> </w:t>
      </w:r>
    </w:p>
    <w:p w14:paraId="3A7D2A5A" w14:textId="77777777" w:rsidR="001830DE" w:rsidRPr="00BB38AD" w:rsidRDefault="001830DE" w:rsidP="001830DE">
      <w:pPr>
        <w:rPr>
          <w:lang w:val="en-ID"/>
        </w:rPr>
      </w:pPr>
      <w:r w:rsidRPr="00BB38AD">
        <w:rPr>
          <w:lang w:val="en-ID"/>
        </w:rPr>
        <w:t>The light-harvesting efficiency (LHE) follows a similarly favorable trend. Pristine galangin has an LHE of 0.805, whereas the designed sensitizers exhibit values of 0.974, 0.900, 0.979, and 0.949 for GFB, GFS, GTB, and GTS, respectively. Among them, GTB provides the highest LHE (0.979), closely followed by GFB (0.974). In contrast, GFS and GTS show slightly lower LHE values but provide larger bathochromic shifts.</w:t>
      </w:r>
    </w:p>
    <w:p w14:paraId="6ECEA246" w14:textId="535D890E" w:rsidR="001830DE" w:rsidRPr="00BB38AD" w:rsidRDefault="001830DE" w:rsidP="001830DE">
      <w:pPr>
        <w:ind w:firstLine="0"/>
        <w:rPr>
          <w:lang w:val="en-ID"/>
        </w:rPr>
      </w:pPr>
      <w:r w:rsidRPr="00BB38AD">
        <w:rPr>
          <w:lang w:val="en-ID"/>
        </w:rPr>
        <w:t xml:space="preserve">This result reveals an important design trade-off. The molecular structure that produces the smallest energy gap or longest-wavelength absorption does not necessarily provide the highest light-harvesting efficiency. The B-based sensitizers show particularly high </w:t>
      </w:r>
      <w:r w:rsidRPr="00BB38AD">
        <w:rPr>
          <w:lang w:val="en-ID"/>
        </w:rPr>
        <w:lastRenderedPageBreak/>
        <w:t xml:space="preserve">calculated absorption strength/LHE, whereas incorporation of the S acceptor more effectively shifts the absorption toward longer wavelengths. Consequently, assessment of sensitizer performance should consider both spectral coverage and transition intensity rather than relying exclusively on </w:t>
      </w:r>
      <m:oMath>
        <m:sSub>
          <m:sSubPr>
            <m:ctrlPr>
              <w:rPr>
                <w:rFonts w:ascii="Cambria Math" w:hAnsi="Cambria Math"/>
                <w:lang w:val="en-ID"/>
              </w:rPr>
            </m:ctrlPr>
          </m:sSubPr>
          <m:e>
            <m:r>
              <w:rPr>
                <w:rFonts w:ascii="Cambria Math" w:hAnsi="Cambria Math"/>
                <w:lang w:val="en-ID"/>
              </w:rPr>
              <m:t>E</m:t>
            </m:r>
          </m:e>
          <m:sub>
            <m:r>
              <w:rPr>
                <w:rFonts w:ascii="Cambria Math" w:hAnsi="Cambria Math"/>
                <w:lang w:val="en-ID"/>
              </w:rPr>
              <m:t>g</m:t>
            </m:r>
          </m:sub>
        </m:sSub>
      </m:oMath>
      <w:r w:rsidRPr="00BB38AD">
        <w:rPr>
          <w:lang w:val="en-ID"/>
        </w:rPr>
        <w:t xml:space="preserve">or </w:t>
      </w:r>
      <m:oMath>
        <m:sSub>
          <m:sSubPr>
            <m:ctrlPr>
              <w:rPr>
                <w:rFonts w:ascii="Cambria Math" w:hAnsi="Cambria Math"/>
                <w:lang w:val="en-ID"/>
              </w:rPr>
            </m:ctrlPr>
          </m:sSubPr>
          <m:e>
            <m:r>
              <w:rPr>
                <w:rFonts w:ascii="Cambria Math" w:hAnsi="Cambria Math"/>
                <w:lang w:val="en-ID"/>
              </w:rPr>
              <m:t>λ</m:t>
            </m:r>
          </m:e>
          <m:sub>
            <m:r>
              <m:rPr>
                <m:sty m:val="p"/>
              </m:rPr>
              <w:rPr>
                <w:rFonts w:ascii="Cambria Math" w:hAnsi="Cambria Math"/>
                <w:lang w:val="en-ID"/>
              </w:rPr>
              <m:t>max</m:t>
            </m:r>
          </m:sub>
        </m:sSub>
      </m:oMath>
      <w:r w:rsidRPr="00BB38AD">
        <w:rPr>
          <w:lang w:val="en-ID"/>
        </w:rPr>
        <w:t>.</w:t>
      </w:r>
    </w:p>
    <w:p w14:paraId="4603D47E" w14:textId="77777777" w:rsidR="00E949C2" w:rsidRPr="00BB38AD" w:rsidRDefault="00E949C2" w:rsidP="001830DE">
      <w:pPr>
        <w:ind w:firstLine="0"/>
        <w:rPr>
          <w:lang w:val="en-ID"/>
        </w:rPr>
      </w:pPr>
    </w:p>
    <w:p w14:paraId="5714A11B" w14:textId="77777777" w:rsidR="00E949C2" w:rsidRPr="00BB38AD" w:rsidRDefault="00E949C2" w:rsidP="00E949C2">
      <w:pPr>
        <w:ind w:firstLine="0"/>
        <w:jc w:val="center"/>
        <w:rPr>
          <w:lang w:val="en-ID"/>
        </w:rPr>
      </w:pPr>
      <w:r w:rsidRPr="00BB38AD">
        <w:rPr>
          <w:noProof/>
        </w:rPr>
        <w:drawing>
          <wp:inline distT="0" distB="0" distL="0" distR="0" wp14:anchorId="2AF49060" wp14:editId="03537EEE">
            <wp:extent cx="3211286" cy="2470434"/>
            <wp:effectExtent l="0" t="0" r="8255" b="6350"/>
            <wp:docPr id="5" name="Picture 4">
              <a:extLst xmlns:a="http://schemas.openxmlformats.org/drawingml/2006/main">
                <a:ext uri="{FF2B5EF4-FFF2-40B4-BE49-F238E27FC236}">
                  <a16:creationId xmlns:a16="http://schemas.microsoft.com/office/drawing/2014/main" id="{3763D1E8-03DB-630F-BAB9-68E1DDDA1C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763D1E8-03DB-630F-BAB9-68E1DDDA1C30}"/>
                        </a:ext>
                      </a:extLst>
                    </pic:cNvPr>
                    <pic:cNvPicPr>
                      <a:picLocks noChangeAspect="1"/>
                    </pic:cNvPicPr>
                  </pic:nvPicPr>
                  <pic:blipFill>
                    <a:blip r:embed="rId13"/>
                    <a:stretch>
                      <a:fillRect/>
                    </a:stretch>
                  </pic:blipFill>
                  <pic:spPr>
                    <a:xfrm>
                      <a:off x="0" y="0"/>
                      <a:ext cx="3214990" cy="2473283"/>
                    </a:xfrm>
                    <a:prstGeom prst="rect">
                      <a:avLst/>
                    </a:prstGeom>
                  </pic:spPr>
                </pic:pic>
              </a:graphicData>
            </a:graphic>
          </wp:inline>
        </w:drawing>
      </w:r>
    </w:p>
    <w:p w14:paraId="4D756019" w14:textId="77777777" w:rsidR="00E949C2" w:rsidRPr="00BB38AD" w:rsidRDefault="00E949C2" w:rsidP="00E949C2">
      <w:pPr>
        <w:ind w:firstLine="0"/>
      </w:pPr>
      <w:r w:rsidRPr="00BB38AD">
        <w:t>Fig 5. Simulated UV–Vis absorption spectra of pristine galangin (G) and the designed galangin-based sensitizers GFB, GFS, GTB, and GTS. The spectra illustrate the effects of π-spacer and terminal acceptor modification on the absorption wavelength and intensity.</w:t>
      </w:r>
    </w:p>
    <w:p w14:paraId="2684FE18" w14:textId="77777777" w:rsidR="00E949C2" w:rsidRPr="00BB38AD" w:rsidRDefault="00E949C2" w:rsidP="001830DE">
      <w:pPr>
        <w:ind w:firstLine="0"/>
        <w:rPr>
          <w:lang w:val="en-ID"/>
        </w:rPr>
      </w:pPr>
    </w:p>
    <w:p w14:paraId="69CE04D5" w14:textId="77777777" w:rsidR="00282E41" w:rsidRPr="00BB38AD" w:rsidRDefault="00282E41" w:rsidP="001830DE">
      <w:pPr>
        <w:ind w:firstLine="0"/>
        <w:rPr>
          <w:lang w:val="en-ID"/>
        </w:rPr>
      </w:pPr>
    </w:p>
    <w:p w14:paraId="4CC522F6" w14:textId="5AA8898D" w:rsidR="00282E41" w:rsidRPr="00BB38AD" w:rsidRDefault="00282E41" w:rsidP="00282E41">
      <w:pPr>
        <w:ind w:firstLine="0"/>
        <w:rPr>
          <w:b/>
          <w:bCs/>
          <w:lang w:val="en-ID"/>
        </w:rPr>
      </w:pPr>
      <w:r w:rsidRPr="00BB38AD">
        <w:rPr>
          <w:b/>
          <w:bCs/>
          <w:lang w:val="en-ID"/>
        </w:rPr>
        <w:t>3.</w:t>
      </w:r>
      <w:r w:rsidR="00485F0A" w:rsidRPr="00BB38AD">
        <w:rPr>
          <w:b/>
          <w:bCs/>
          <w:lang w:val="en-ID"/>
        </w:rPr>
        <w:t>6</w:t>
      </w:r>
      <w:r w:rsidRPr="00BB38AD">
        <w:rPr>
          <w:b/>
          <w:bCs/>
          <w:lang w:val="en-ID"/>
        </w:rPr>
        <w:t>. Effect of π-Spacer and Acceptor Variation</w:t>
      </w:r>
    </w:p>
    <w:p w14:paraId="3A3EADF4" w14:textId="77777777" w:rsidR="00570C55" w:rsidRPr="00BB38AD" w:rsidRDefault="00570C55" w:rsidP="00282E41">
      <w:pPr>
        <w:ind w:firstLine="0"/>
        <w:rPr>
          <w:b/>
          <w:bCs/>
          <w:lang w:val="en-ID"/>
        </w:rPr>
      </w:pPr>
    </w:p>
    <w:p w14:paraId="2574E54C" w14:textId="77777777" w:rsidR="000372CA" w:rsidRPr="00BB38AD" w:rsidRDefault="000372CA" w:rsidP="000372CA">
      <w:pPr>
        <w:ind w:firstLine="0"/>
        <w:rPr>
          <w:lang w:val="en-ID"/>
        </w:rPr>
      </w:pPr>
      <w:r w:rsidRPr="00BB38AD">
        <w:rPr>
          <w:lang w:val="en-ID"/>
        </w:rPr>
        <w:t>The combined FMO and TD-DFT results allow the individual roles of the π-spacer and acceptor to be distinguished. For the π-spacer effect, replacing furan with thiophene lowers the HOMO–LUMO gap for both acceptors: the GFB→GTB substitution reduces the gap from 3.498 to 3.304 eV, while GFS→GTS reduces it from 3.375 to 3.199 eV. This indicates that thiophene is more effective than furan in narrowing the ground-state electronic gap.</w:t>
      </w:r>
    </w:p>
    <w:p w14:paraId="108D4AB6" w14:textId="77777777" w:rsidR="000372CA" w:rsidRPr="00BB38AD" w:rsidRDefault="000372CA" w:rsidP="00977060">
      <w:pPr>
        <w:rPr>
          <w:lang w:val="en-ID"/>
        </w:rPr>
      </w:pPr>
      <w:r w:rsidRPr="00BB38AD">
        <w:rPr>
          <w:lang w:val="en-ID"/>
        </w:rPr>
        <w:t>However, the same trend is not strictly reproduced by the absorption wavelength. For the B acceptor, replacement of F by T shifts the absorption from 328.8 to 334.6 nm, corresponding to a red shift of 5.8 nm. For the S acceptor, GFS and GTS show nearly identical wavelengths of 345.1 and 344.5 nm. Thus, the effect of the π-spacer on optical absorption depends on the terminal acceptor and excited-state orbital contributions.</w:t>
      </w:r>
    </w:p>
    <w:p w14:paraId="1777E124" w14:textId="77777777" w:rsidR="000372CA" w:rsidRPr="00BB38AD" w:rsidRDefault="000372CA" w:rsidP="00977060">
      <w:pPr>
        <w:rPr>
          <w:lang w:val="en-ID"/>
        </w:rPr>
      </w:pPr>
      <w:r w:rsidRPr="00BB38AD">
        <w:rPr>
          <w:lang w:val="en-ID"/>
        </w:rPr>
        <w:t xml:space="preserve">The acceptor effect is considerably more pronounced on the absorption wavelength. Replacing B with S shifts the principal transition from 328.8 to 345.1 nm for the furan series, corresponding to a red shift of 16.3 nm, and from 334.6 to 344.5 nm for the thiophene series, corresponding to 9.9 nm. Therefore, the S acceptor is particularly effective in extending absorption toward longer wavelengths. This observation agrees </w:t>
      </w:r>
      <w:r w:rsidRPr="00BB38AD">
        <w:rPr>
          <w:lang w:val="en-ID"/>
        </w:rPr>
        <w:lastRenderedPageBreak/>
        <w:t>with the stronger stabilization of the LUMO in the S-containing structures. Based on the calculated molecular dipole moments, the polarization of the S-containing derivatives is found to be significantly stronger than that of their B-containing counterparts, a potentially favorable tendency for directional charge separation upon photoexcitation.</w:t>
      </w:r>
    </w:p>
    <w:p w14:paraId="6D04DE51" w14:textId="75535934" w:rsidR="000372CA" w:rsidRPr="00BB38AD" w:rsidRDefault="00C635B4" w:rsidP="00977060">
      <w:pPr>
        <w:rPr>
          <w:lang w:val="en-ID"/>
        </w:rPr>
      </w:pPr>
      <w:r w:rsidRPr="00BB38AD">
        <w:t>The calculated descriptors therefore show different roles for the π-spacer and terminal acceptor</w:t>
      </w:r>
      <w:r w:rsidR="000372CA" w:rsidRPr="00BB38AD">
        <w:rPr>
          <w:lang w:val="en-ID"/>
        </w:rPr>
        <w:t xml:space="preserve">. The π-spacer primarily controls conjugation and frontier-orbital gap narrowing, with thiophene providing the smallest HOMO–LUMO gap, whereas the terminal acceptor strongly influences LUMO stabilization and the position of the absorption band. The combined trends can be summarized as shown in </w:t>
      </w:r>
      <w:r w:rsidR="00753343" w:rsidRPr="00BB38AD">
        <w:rPr>
          <w:lang w:val="en-ID"/>
        </w:rPr>
        <w:t>T</w:t>
      </w:r>
      <w:r w:rsidR="000372CA" w:rsidRPr="00BB38AD">
        <w:rPr>
          <w:lang w:val="en-ID"/>
        </w:rPr>
        <w:t xml:space="preserve">able </w:t>
      </w:r>
      <w:r w:rsidR="00017C04" w:rsidRPr="00BB38AD">
        <w:rPr>
          <w:lang w:val="en-ID"/>
        </w:rPr>
        <w:t>4</w:t>
      </w:r>
      <w:r w:rsidR="000372CA" w:rsidRPr="00BB38AD">
        <w:rPr>
          <w:lang w:val="en-ID"/>
        </w:rPr>
        <w:t>.</w:t>
      </w:r>
    </w:p>
    <w:p w14:paraId="26649B33" w14:textId="77777777" w:rsidR="00897217" w:rsidRPr="00BB38AD" w:rsidRDefault="00897217" w:rsidP="00282E41">
      <w:pPr>
        <w:ind w:firstLine="0"/>
        <w:rPr>
          <w:lang w:val="en-ID"/>
        </w:rPr>
      </w:pPr>
    </w:p>
    <w:p w14:paraId="25A1D95D" w14:textId="20925DCD" w:rsidR="00897217" w:rsidRPr="00BB38AD" w:rsidRDefault="00897217" w:rsidP="00282E41">
      <w:pPr>
        <w:ind w:firstLine="0"/>
        <w:rPr>
          <w:lang w:val="en-ID"/>
        </w:rPr>
      </w:pPr>
      <w:r w:rsidRPr="00BB38AD">
        <w:t xml:space="preserve">Table </w:t>
      </w:r>
      <w:r w:rsidR="00017C04" w:rsidRPr="00BB38AD">
        <w:t>4</w:t>
      </w:r>
      <w:r w:rsidRPr="00BB38AD">
        <w:t>. Comparison of energy gaps, absorption wavelengths, spectral shifts, light-harvesting efficiencies, and key optoelectronic features of pristine galangin and the designed sensitizers.</w:t>
      </w:r>
    </w:p>
    <w:tbl>
      <w:tblPr>
        <w:tblW w:w="5020" w:type="pct"/>
        <w:tblBorders>
          <w:top w:val="single" w:sz="4" w:space="0" w:color="auto"/>
          <w:bottom w:val="single" w:sz="4" w:space="0" w:color="auto"/>
        </w:tblBorders>
        <w:tblLook w:val="04A0" w:firstRow="1" w:lastRow="0" w:firstColumn="1" w:lastColumn="0" w:noHBand="0" w:noVBand="1"/>
      </w:tblPr>
      <w:tblGrid>
        <w:gridCol w:w="994"/>
        <w:gridCol w:w="993"/>
        <w:gridCol w:w="1134"/>
        <w:gridCol w:w="1134"/>
        <w:gridCol w:w="993"/>
        <w:gridCol w:w="1698"/>
      </w:tblGrid>
      <w:tr w:rsidR="00897217" w:rsidRPr="00BB38AD" w14:paraId="6DA59061" w14:textId="77777777" w:rsidTr="00D05082">
        <w:trPr>
          <w:trHeight w:val="300"/>
        </w:trPr>
        <w:tc>
          <w:tcPr>
            <w:tcW w:w="716" w:type="pct"/>
            <w:tcBorders>
              <w:top w:val="single" w:sz="4" w:space="0" w:color="auto"/>
              <w:bottom w:val="single" w:sz="4" w:space="0" w:color="auto"/>
            </w:tcBorders>
            <w:vAlign w:val="center"/>
            <w:hideMark/>
          </w:tcPr>
          <w:p w14:paraId="1F71B71C" w14:textId="11998939" w:rsidR="00897217" w:rsidRPr="00BB38AD" w:rsidRDefault="00017B50" w:rsidP="00D05082">
            <w:pPr>
              <w:overflowPunct/>
              <w:autoSpaceDE/>
              <w:autoSpaceDN/>
              <w:adjustRightInd/>
              <w:spacing w:line="240" w:lineRule="auto"/>
              <w:ind w:firstLine="0"/>
              <w:jc w:val="left"/>
              <w:textAlignment w:val="auto"/>
              <w:rPr>
                <w:b/>
                <w:bCs/>
                <w:color w:val="000000"/>
                <w:lang w:val="en-ID" w:eastAsia="en-ID"/>
              </w:rPr>
            </w:pPr>
            <w:r w:rsidRPr="00BB38AD">
              <w:rPr>
                <w:b/>
                <w:bCs/>
                <w:color w:val="000000"/>
                <w:lang w:val="en-ID" w:eastAsia="en-ID"/>
              </w:rPr>
              <w:t>Molecules</w:t>
            </w:r>
          </w:p>
        </w:tc>
        <w:tc>
          <w:tcPr>
            <w:tcW w:w="715" w:type="pct"/>
            <w:tcBorders>
              <w:top w:val="single" w:sz="4" w:space="0" w:color="auto"/>
              <w:bottom w:val="single" w:sz="4" w:space="0" w:color="auto"/>
            </w:tcBorders>
            <w:vAlign w:val="center"/>
            <w:hideMark/>
          </w:tcPr>
          <w:p w14:paraId="688A6717" w14:textId="32E92EB7" w:rsidR="00897217" w:rsidRPr="00BB38AD" w:rsidRDefault="00897217" w:rsidP="00D05082">
            <w:pPr>
              <w:overflowPunct/>
              <w:autoSpaceDE/>
              <w:autoSpaceDN/>
              <w:adjustRightInd/>
              <w:spacing w:line="240" w:lineRule="auto"/>
              <w:ind w:firstLine="0"/>
              <w:jc w:val="left"/>
              <w:textAlignment w:val="auto"/>
              <w:rPr>
                <w:b/>
                <w:bCs/>
                <w:color w:val="000000"/>
                <w:lang w:val="en-ID" w:eastAsia="en-ID"/>
              </w:rPr>
            </w:pPr>
            <w:r w:rsidRPr="00BB38AD">
              <w:rPr>
                <w:b/>
                <w:bCs/>
                <w:color w:val="000000"/>
                <w:lang w:val="en-ID" w:eastAsia="en-ID"/>
              </w:rPr>
              <w:t>Eg (eV)</w:t>
            </w:r>
          </w:p>
        </w:tc>
        <w:tc>
          <w:tcPr>
            <w:tcW w:w="816" w:type="pct"/>
            <w:tcBorders>
              <w:top w:val="single" w:sz="4" w:space="0" w:color="auto"/>
              <w:bottom w:val="single" w:sz="4" w:space="0" w:color="auto"/>
            </w:tcBorders>
            <w:vAlign w:val="center"/>
            <w:hideMark/>
          </w:tcPr>
          <w:p w14:paraId="20A1C6DB" w14:textId="13DCD443" w:rsidR="00897217" w:rsidRPr="00BB38AD" w:rsidRDefault="00897217" w:rsidP="00D05082">
            <w:pPr>
              <w:overflowPunct/>
              <w:autoSpaceDE/>
              <w:autoSpaceDN/>
              <w:adjustRightInd/>
              <w:spacing w:line="240" w:lineRule="auto"/>
              <w:ind w:firstLine="0"/>
              <w:jc w:val="left"/>
              <w:textAlignment w:val="auto"/>
              <w:rPr>
                <w:b/>
                <w:bCs/>
                <w:color w:val="000000"/>
                <w:lang w:val="en-ID" w:eastAsia="en-ID"/>
              </w:rPr>
            </w:pPr>
            <w:r w:rsidRPr="00BB38AD">
              <w:rPr>
                <w:b/>
                <w:bCs/>
                <w:color w:val="000000"/>
                <w:lang w:val="en-ID" w:eastAsia="en-ID"/>
              </w:rPr>
              <w:t>λ (nm)</w:t>
            </w:r>
          </w:p>
        </w:tc>
        <w:tc>
          <w:tcPr>
            <w:tcW w:w="816" w:type="pct"/>
            <w:tcBorders>
              <w:top w:val="single" w:sz="4" w:space="0" w:color="auto"/>
              <w:bottom w:val="single" w:sz="4" w:space="0" w:color="auto"/>
            </w:tcBorders>
            <w:vAlign w:val="center"/>
            <w:hideMark/>
          </w:tcPr>
          <w:p w14:paraId="79568FCE" w14:textId="19C7CBC9" w:rsidR="00897217" w:rsidRPr="00BB38AD" w:rsidRDefault="00897217" w:rsidP="00D05082">
            <w:pPr>
              <w:overflowPunct/>
              <w:autoSpaceDE/>
              <w:autoSpaceDN/>
              <w:adjustRightInd/>
              <w:spacing w:line="240" w:lineRule="auto"/>
              <w:ind w:firstLine="0"/>
              <w:jc w:val="left"/>
              <w:textAlignment w:val="auto"/>
              <w:rPr>
                <w:b/>
                <w:bCs/>
                <w:color w:val="000000"/>
                <w:lang w:val="en-ID" w:eastAsia="en-ID"/>
              </w:rPr>
            </w:pPr>
            <w:r w:rsidRPr="00BB38AD">
              <w:rPr>
                <w:b/>
                <w:bCs/>
                <w:color w:val="000000"/>
                <w:lang w:val="en-ID" w:eastAsia="en-ID"/>
              </w:rPr>
              <w:t>Shift (nm)</w:t>
            </w:r>
          </w:p>
        </w:tc>
        <w:tc>
          <w:tcPr>
            <w:tcW w:w="715" w:type="pct"/>
            <w:tcBorders>
              <w:top w:val="single" w:sz="4" w:space="0" w:color="auto"/>
              <w:bottom w:val="single" w:sz="4" w:space="0" w:color="auto"/>
            </w:tcBorders>
            <w:vAlign w:val="center"/>
            <w:hideMark/>
          </w:tcPr>
          <w:p w14:paraId="08D7C049" w14:textId="77777777" w:rsidR="00897217" w:rsidRPr="00BB38AD" w:rsidRDefault="00897217" w:rsidP="00D05082">
            <w:pPr>
              <w:overflowPunct/>
              <w:autoSpaceDE/>
              <w:autoSpaceDN/>
              <w:adjustRightInd/>
              <w:spacing w:line="240" w:lineRule="auto"/>
              <w:ind w:firstLine="0"/>
              <w:jc w:val="left"/>
              <w:textAlignment w:val="auto"/>
              <w:rPr>
                <w:b/>
                <w:bCs/>
                <w:color w:val="000000"/>
                <w:lang w:val="en-ID" w:eastAsia="en-ID"/>
              </w:rPr>
            </w:pPr>
            <w:r w:rsidRPr="00BB38AD">
              <w:rPr>
                <w:b/>
                <w:bCs/>
                <w:color w:val="000000"/>
                <w:lang w:val="en-ID" w:eastAsia="en-ID"/>
              </w:rPr>
              <w:t>LHE</w:t>
            </w:r>
          </w:p>
        </w:tc>
        <w:tc>
          <w:tcPr>
            <w:tcW w:w="1224" w:type="pct"/>
            <w:tcBorders>
              <w:top w:val="single" w:sz="4" w:space="0" w:color="auto"/>
              <w:bottom w:val="single" w:sz="4" w:space="0" w:color="auto"/>
            </w:tcBorders>
            <w:vAlign w:val="center"/>
            <w:hideMark/>
          </w:tcPr>
          <w:p w14:paraId="57F85A1B" w14:textId="77777777" w:rsidR="00897217" w:rsidRPr="00BB38AD" w:rsidRDefault="00897217" w:rsidP="00D05082">
            <w:pPr>
              <w:overflowPunct/>
              <w:autoSpaceDE/>
              <w:autoSpaceDN/>
              <w:adjustRightInd/>
              <w:spacing w:line="240" w:lineRule="auto"/>
              <w:ind w:firstLine="0"/>
              <w:jc w:val="left"/>
              <w:textAlignment w:val="auto"/>
              <w:rPr>
                <w:b/>
                <w:bCs/>
                <w:color w:val="000000"/>
                <w:lang w:val="en-ID" w:eastAsia="en-ID"/>
              </w:rPr>
            </w:pPr>
            <w:r w:rsidRPr="00BB38AD">
              <w:rPr>
                <w:b/>
                <w:bCs/>
                <w:color w:val="000000"/>
                <w:lang w:val="en-ID" w:eastAsia="en-ID"/>
              </w:rPr>
              <w:t>Main feature</w:t>
            </w:r>
          </w:p>
        </w:tc>
      </w:tr>
      <w:tr w:rsidR="00897217" w:rsidRPr="00BB38AD" w14:paraId="32C79564" w14:textId="77777777" w:rsidTr="00D05082">
        <w:trPr>
          <w:trHeight w:val="390"/>
        </w:trPr>
        <w:tc>
          <w:tcPr>
            <w:tcW w:w="716" w:type="pct"/>
            <w:tcBorders>
              <w:top w:val="single" w:sz="4" w:space="0" w:color="auto"/>
            </w:tcBorders>
            <w:vAlign w:val="center"/>
            <w:hideMark/>
          </w:tcPr>
          <w:p w14:paraId="03A0B986"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G</w:t>
            </w:r>
          </w:p>
        </w:tc>
        <w:tc>
          <w:tcPr>
            <w:tcW w:w="715" w:type="pct"/>
            <w:tcBorders>
              <w:top w:val="single" w:sz="4" w:space="0" w:color="auto"/>
            </w:tcBorders>
            <w:vAlign w:val="center"/>
            <w:hideMark/>
          </w:tcPr>
          <w:p w14:paraId="47FA0CE4"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3.876</w:t>
            </w:r>
          </w:p>
        </w:tc>
        <w:tc>
          <w:tcPr>
            <w:tcW w:w="816" w:type="pct"/>
            <w:tcBorders>
              <w:top w:val="single" w:sz="4" w:space="0" w:color="auto"/>
            </w:tcBorders>
            <w:vAlign w:val="center"/>
            <w:hideMark/>
          </w:tcPr>
          <w:p w14:paraId="5ECD5E0B"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310.7</w:t>
            </w:r>
          </w:p>
        </w:tc>
        <w:tc>
          <w:tcPr>
            <w:tcW w:w="816" w:type="pct"/>
            <w:tcBorders>
              <w:top w:val="single" w:sz="4" w:space="0" w:color="auto"/>
            </w:tcBorders>
            <w:vAlign w:val="center"/>
            <w:hideMark/>
          </w:tcPr>
          <w:p w14:paraId="079DB653" w14:textId="5BACC054" w:rsidR="00897217" w:rsidRPr="00BB38AD" w:rsidRDefault="008E1E3B"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w:t>
            </w:r>
          </w:p>
        </w:tc>
        <w:tc>
          <w:tcPr>
            <w:tcW w:w="715" w:type="pct"/>
            <w:tcBorders>
              <w:top w:val="single" w:sz="4" w:space="0" w:color="auto"/>
            </w:tcBorders>
            <w:vAlign w:val="center"/>
            <w:hideMark/>
          </w:tcPr>
          <w:p w14:paraId="486837F6"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0.805</w:t>
            </w:r>
          </w:p>
        </w:tc>
        <w:tc>
          <w:tcPr>
            <w:tcW w:w="1224" w:type="pct"/>
            <w:tcBorders>
              <w:top w:val="single" w:sz="4" w:space="0" w:color="auto"/>
            </w:tcBorders>
            <w:vAlign w:val="center"/>
            <w:hideMark/>
          </w:tcPr>
          <w:p w14:paraId="6137BFD7" w14:textId="1987DADB"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Reference</w:t>
            </w:r>
          </w:p>
        </w:tc>
      </w:tr>
      <w:tr w:rsidR="00897217" w:rsidRPr="00BB38AD" w14:paraId="3379A90E" w14:textId="77777777" w:rsidTr="00D05082">
        <w:trPr>
          <w:trHeight w:val="411"/>
        </w:trPr>
        <w:tc>
          <w:tcPr>
            <w:tcW w:w="716" w:type="pct"/>
            <w:vAlign w:val="center"/>
            <w:hideMark/>
          </w:tcPr>
          <w:p w14:paraId="2DBAE197"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GFB</w:t>
            </w:r>
          </w:p>
        </w:tc>
        <w:tc>
          <w:tcPr>
            <w:tcW w:w="715" w:type="pct"/>
            <w:vAlign w:val="center"/>
            <w:hideMark/>
          </w:tcPr>
          <w:p w14:paraId="756D2389"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3.498</w:t>
            </w:r>
          </w:p>
        </w:tc>
        <w:tc>
          <w:tcPr>
            <w:tcW w:w="816" w:type="pct"/>
            <w:vAlign w:val="center"/>
            <w:hideMark/>
          </w:tcPr>
          <w:p w14:paraId="76F93C1F"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328.8</w:t>
            </w:r>
          </w:p>
        </w:tc>
        <w:tc>
          <w:tcPr>
            <w:tcW w:w="816" w:type="pct"/>
            <w:vAlign w:val="center"/>
            <w:hideMark/>
          </w:tcPr>
          <w:p w14:paraId="52846D1E"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+18.1</w:t>
            </w:r>
          </w:p>
        </w:tc>
        <w:tc>
          <w:tcPr>
            <w:tcW w:w="715" w:type="pct"/>
            <w:vAlign w:val="center"/>
            <w:hideMark/>
          </w:tcPr>
          <w:p w14:paraId="3D5AFB7B"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0.974</w:t>
            </w:r>
          </w:p>
        </w:tc>
        <w:tc>
          <w:tcPr>
            <w:tcW w:w="1224" w:type="pct"/>
            <w:vAlign w:val="center"/>
            <w:hideMark/>
          </w:tcPr>
          <w:p w14:paraId="666E6085"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Strong absorption/LHE</w:t>
            </w:r>
          </w:p>
        </w:tc>
      </w:tr>
      <w:tr w:rsidR="00897217" w:rsidRPr="00BB38AD" w14:paraId="1E8B6BC4" w14:textId="77777777" w:rsidTr="00D05082">
        <w:trPr>
          <w:trHeight w:val="416"/>
        </w:trPr>
        <w:tc>
          <w:tcPr>
            <w:tcW w:w="716" w:type="pct"/>
            <w:vAlign w:val="center"/>
            <w:hideMark/>
          </w:tcPr>
          <w:p w14:paraId="5D5756A6"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GFS</w:t>
            </w:r>
          </w:p>
        </w:tc>
        <w:tc>
          <w:tcPr>
            <w:tcW w:w="715" w:type="pct"/>
            <w:vAlign w:val="center"/>
            <w:hideMark/>
          </w:tcPr>
          <w:p w14:paraId="7AA412F7"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3.375</w:t>
            </w:r>
          </w:p>
        </w:tc>
        <w:tc>
          <w:tcPr>
            <w:tcW w:w="816" w:type="pct"/>
            <w:vAlign w:val="center"/>
            <w:hideMark/>
          </w:tcPr>
          <w:p w14:paraId="037886D2"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345.1</w:t>
            </w:r>
          </w:p>
        </w:tc>
        <w:tc>
          <w:tcPr>
            <w:tcW w:w="816" w:type="pct"/>
            <w:vAlign w:val="center"/>
            <w:hideMark/>
          </w:tcPr>
          <w:p w14:paraId="41D8C7C8"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+34.4</w:t>
            </w:r>
          </w:p>
        </w:tc>
        <w:tc>
          <w:tcPr>
            <w:tcW w:w="715" w:type="pct"/>
            <w:vAlign w:val="center"/>
            <w:hideMark/>
          </w:tcPr>
          <w:p w14:paraId="347524EA"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0.900</w:t>
            </w:r>
          </w:p>
        </w:tc>
        <w:tc>
          <w:tcPr>
            <w:tcW w:w="1224" w:type="pct"/>
            <w:vAlign w:val="center"/>
            <w:hideMark/>
          </w:tcPr>
          <w:p w14:paraId="0D15F602"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Longest-wavelength absorption</w:t>
            </w:r>
          </w:p>
        </w:tc>
      </w:tr>
      <w:tr w:rsidR="00897217" w:rsidRPr="00BB38AD" w14:paraId="60D286F4" w14:textId="77777777" w:rsidTr="00D05082">
        <w:trPr>
          <w:trHeight w:val="366"/>
        </w:trPr>
        <w:tc>
          <w:tcPr>
            <w:tcW w:w="716" w:type="pct"/>
            <w:vAlign w:val="center"/>
            <w:hideMark/>
          </w:tcPr>
          <w:p w14:paraId="65B20B27"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GTB</w:t>
            </w:r>
          </w:p>
        </w:tc>
        <w:tc>
          <w:tcPr>
            <w:tcW w:w="715" w:type="pct"/>
            <w:vAlign w:val="center"/>
            <w:hideMark/>
          </w:tcPr>
          <w:p w14:paraId="7A62C5E9"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3.304</w:t>
            </w:r>
          </w:p>
        </w:tc>
        <w:tc>
          <w:tcPr>
            <w:tcW w:w="816" w:type="pct"/>
            <w:vAlign w:val="center"/>
            <w:hideMark/>
          </w:tcPr>
          <w:p w14:paraId="3A4F6751"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334.6</w:t>
            </w:r>
          </w:p>
        </w:tc>
        <w:tc>
          <w:tcPr>
            <w:tcW w:w="816" w:type="pct"/>
            <w:vAlign w:val="center"/>
            <w:hideMark/>
          </w:tcPr>
          <w:p w14:paraId="133B6904"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+23.9</w:t>
            </w:r>
          </w:p>
        </w:tc>
        <w:tc>
          <w:tcPr>
            <w:tcW w:w="715" w:type="pct"/>
            <w:vAlign w:val="center"/>
            <w:hideMark/>
          </w:tcPr>
          <w:p w14:paraId="69388914"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0.979</w:t>
            </w:r>
          </w:p>
        </w:tc>
        <w:tc>
          <w:tcPr>
            <w:tcW w:w="1224" w:type="pct"/>
            <w:vAlign w:val="center"/>
            <w:hideMark/>
          </w:tcPr>
          <w:p w14:paraId="38EFC12C"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Highest LHE</w:t>
            </w:r>
          </w:p>
        </w:tc>
      </w:tr>
      <w:tr w:rsidR="00897217" w:rsidRPr="00BB38AD" w14:paraId="0CE7E893" w14:textId="77777777" w:rsidTr="00D05082">
        <w:trPr>
          <w:trHeight w:val="273"/>
        </w:trPr>
        <w:tc>
          <w:tcPr>
            <w:tcW w:w="716" w:type="pct"/>
            <w:vAlign w:val="center"/>
            <w:hideMark/>
          </w:tcPr>
          <w:p w14:paraId="079033E8"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GTS</w:t>
            </w:r>
          </w:p>
        </w:tc>
        <w:tc>
          <w:tcPr>
            <w:tcW w:w="715" w:type="pct"/>
            <w:vAlign w:val="center"/>
            <w:hideMark/>
          </w:tcPr>
          <w:p w14:paraId="42240906"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3.199</w:t>
            </w:r>
          </w:p>
        </w:tc>
        <w:tc>
          <w:tcPr>
            <w:tcW w:w="816" w:type="pct"/>
            <w:vAlign w:val="center"/>
            <w:hideMark/>
          </w:tcPr>
          <w:p w14:paraId="7B7AF86D"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344.5</w:t>
            </w:r>
          </w:p>
        </w:tc>
        <w:tc>
          <w:tcPr>
            <w:tcW w:w="816" w:type="pct"/>
            <w:vAlign w:val="center"/>
            <w:hideMark/>
          </w:tcPr>
          <w:p w14:paraId="37997837"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+33.8</w:t>
            </w:r>
          </w:p>
        </w:tc>
        <w:tc>
          <w:tcPr>
            <w:tcW w:w="715" w:type="pct"/>
            <w:vAlign w:val="center"/>
            <w:hideMark/>
          </w:tcPr>
          <w:p w14:paraId="15A5B152"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0.949</w:t>
            </w:r>
          </w:p>
        </w:tc>
        <w:tc>
          <w:tcPr>
            <w:tcW w:w="1224" w:type="pct"/>
            <w:vAlign w:val="center"/>
            <w:hideMark/>
          </w:tcPr>
          <w:p w14:paraId="10905A61" w14:textId="77777777" w:rsidR="00897217" w:rsidRPr="00BB38AD" w:rsidRDefault="00897217" w:rsidP="00D05082">
            <w:pPr>
              <w:overflowPunct/>
              <w:autoSpaceDE/>
              <w:autoSpaceDN/>
              <w:adjustRightInd/>
              <w:spacing w:line="240" w:lineRule="auto"/>
              <w:ind w:firstLine="0"/>
              <w:jc w:val="left"/>
              <w:textAlignment w:val="auto"/>
              <w:rPr>
                <w:color w:val="000000"/>
                <w:lang w:val="en-ID" w:eastAsia="en-ID"/>
              </w:rPr>
            </w:pPr>
            <w:r w:rsidRPr="00BB38AD">
              <w:rPr>
                <w:color w:val="000000"/>
                <w:lang w:val="en-ID" w:eastAsia="en-ID"/>
              </w:rPr>
              <w:t>Smallest electronic gap</w:t>
            </w:r>
          </w:p>
        </w:tc>
      </w:tr>
    </w:tbl>
    <w:p w14:paraId="306DD424" w14:textId="77777777" w:rsidR="00897217" w:rsidRPr="00BB38AD" w:rsidRDefault="00897217" w:rsidP="00897217">
      <w:pPr>
        <w:pStyle w:val="heading1"/>
      </w:pPr>
      <w:r w:rsidRPr="00BB38AD">
        <w:t>Conclusion</w:t>
      </w:r>
    </w:p>
    <w:p w14:paraId="00703C07" w14:textId="2171B085" w:rsidR="00897217" w:rsidRPr="00BB38AD" w:rsidRDefault="00897217" w:rsidP="00897217">
      <w:pPr>
        <w:ind w:firstLine="0"/>
        <w:rPr>
          <w:lang w:val="en-ID"/>
        </w:rPr>
      </w:pPr>
      <w:r w:rsidRPr="00BB38AD">
        <w:rPr>
          <w:lang w:val="en-ID"/>
        </w:rPr>
        <w:t>DFT and TD-DFT calculations demonstrate that π-spacer and acceptor modification effectively tunes the optoelectronic properties of galangin-based sensitizers. All designed molecules exhibit reduced HOMO–LUMO gaps, red-shifted absorption, and improved light-harvesting efficiency compared with pristine galangin. The thiophene spacer is particularly effective in narrowing the energy gap, while ethyl cyanoacetate promotes longer-wavelength absorption. GTS shows the smallest energy gap (3.199 eV), GFS the longest absorption wavelength (345.1 nm), and GTB the highest LHE (0.979). These results highlight π-spacer and acceptor engineering as a promising strategy for improving galangin-based sensitizers.</w:t>
      </w:r>
      <w:r w:rsidR="00D30529" w:rsidRPr="00BB38AD">
        <w:rPr>
          <w:lang w:val="en-ID"/>
        </w:rPr>
        <w:t xml:space="preserve"> </w:t>
      </w:r>
      <w:r w:rsidR="00D30529" w:rsidRPr="00BB38AD">
        <w:t>Further molecular engineering would be required to extend the absorption into the visible region.</w:t>
      </w:r>
    </w:p>
    <w:p w14:paraId="6F6A9FF8" w14:textId="77777777" w:rsidR="005E13F0" w:rsidRPr="00BB38AD" w:rsidRDefault="005E13F0" w:rsidP="005E13F0">
      <w:pPr>
        <w:spacing w:after="240"/>
        <w:ind w:firstLine="0"/>
        <w:rPr>
          <w:b/>
          <w:bCs/>
          <w:lang w:val="en-ID"/>
        </w:rPr>
      </w:pPr>
    </w:p>
    <w:p w14:paraId="0D87B811" w14:textId="3B7E17FA" w:rsidR="005E13F0" w:rsidRPr="00BB38AD" w:rsidRDefault="005E13F0" w:rsidP="005E13F0">
      <w:pPr>
        <w:spacing w:after="240"/>
        <w:ind w:firstLine="0"/>
        <w:rPr>
          <w:b/>
          <w:bCs/>
          <w:lang w:val="en-ID"/>
        </w:rPr>
      </w:pPr>
      <w:r w:rsidRPr="00BB38AD">
        <w:rPr>
          <w:b/>
          <w:bCs/>
          <w:lang w:val="en-ID"/>
        </w:rPr>
        <w:t>ACKNOWLEDGEMENTS</w:t>
      </w:r>
    </w:p>
    <w:p w14:paraId="69B9730E" w14:textId="5111493C" w:rsidR="000F4929" w:rsidRPr="00BB38AD" w:rsidRDefault="005E13F0" w:rsidP="005E13F0">
      <w:pPr>
        <w:ind w:firstLine="0"/>
        <w:rPr>
          <w:lang w:val="en-ID"/>
        </w:rPr>
      </w:pPr>
      <w:r w:rsidRPr="00BB38AD">
        <w:rPr>
          <w:lang w:val="en-ID"/>
        </w:rPr>
        <w:t>We acknowledge the support of the Department of Physics, IPB University IPB for high performance computing (HPC) resources. We also acknowledge funding from the IPB University with project registration number: 23420/IT3/PT.01.03/P/B/2024.</w:t>
      </w:r>
    </w:p>
    <w:p w14:paraId="6F7E83D4" w14:textId="77777777" w:rsidR="00E774E8" w:rsidRPr="00BB38AD" w:rsidRDefault="009B2539">
      <w:pPr>
        <w:pStyle w:val="heading1"/>
        <w:numPr>
          <w:ilvl w:val="0"/>
          <w:numId w:val="0"/>
        </w:numPr>
        <w:ind w:left="567" w:hanging="567"/>
      </w:pPr>
      <w:r w:rsidRPr="00BB38AD">
        <w:lastRenderedPageBreak/>
        <w:t>References</w:t>
      </w:r>
    </w:p>
    <w:p w14:paraId="6318D501" w14:textId="72F4A762" w:rsidR="004A25CB" w:rsidRPr="00BB38AD" w:rsidRDefault="004A25CB" w:rsidP="004A25CB">
      <w:pPr>
        <w:pStyle w:val="ListParagraph"/>
        <w:numPr>
          <w:ilvl w:val="0"/>
          <w:numId w:val="25"/>
        </w:numPr>
        <w:ind w:right="51"/>
      </w:pPr>
      <w:r w:rsidRPr="00BB38AD">
        <w:t>Galappaththi K, Ekanayake P, Petra MI.</w:t>
      </w:r>
      <w:r w:rsidR="000943D9" w:rsidRPr="00BB38AD">
        <w:t>:</w:t>
      </w:r>
      <w:r w:rsidRPr="00BB38AD">
        <w:t xml:space="preserve"> A rational design of high efficient and low-cost dye sensitizer with exceptional absorptions: computational study of cyanidin based organic sensitizer. Sol Energy. 161:83–89</w:t>
      </w:r>
      <w:r w:rsidR="00A900D4" w:rsidRPr="00BB38AD">
        <w:t xml:space="preserve"> (2018).</w:t>
      </w:r>
    </w:p>
    <w:p w14:paraId="78578DE6" w14:textId="2EC63E55" w:rsidR="004A25CB" w:rsidRPr="00BB38AD" w:rsidRDefault="004A25CB" w:rsidP="004A25CB">
      <w:pPr>
        <w:pStyle w:val="ListParagraph"/>
        <w:numPr>
          <w:ilvl w:val="0"/>
          <w:numId w:val="25"/>
        </w:numPr>
        <w:ind w:right="51"/>
      </w:pPr>
      <w:r w:rsidRPr="00BB38AD">
        <w:t>Prabavathy N, Shalini S, Balasundaraprabhu R, Velauthapillai D, Prasanna S, Muthukumarasamy N.</w:t>
      </w:r>
      <w:r w:rsidR="000943D9" w:rsidRPr="00BB38AD">
        <w:t>:</w:t>
      </w:r>
      <w:r w:rsidRPr="00BB38AD">
        <w:t xml:space="preserve"> Enhancement in the photostability of natural dyes for dye-sensitized solar cell (DSSC) applications: a review. Int J Energy Res. 41(10):1372–1396</w:t>
      </w:r>
      <w:r w:rsidR="00A900D4" w:rsidRPr="00BB38AD">
        <w:t xml:space="preserve"> (2017)</w:t>
      </w:r>
      <w:r w:rsidRPr="00BB38AD">
        <w:t xml:space="preserve">. </w:t>
      </w:r>
    </w:p>
    <w:p w14:paraId="1262DD1A" w14:textId="50BEDA3C" w:rsidR="004A25CB" w:rsidRPr="00BB38AD" w:rsidRDefault="004A25CB" w:rsidP="004A25CB">
      <w:pPr>
        <w:pStyle w:val="ListParagraph"/>
        <w:numPr>
          <w:ilvl w:val="0"/>
          <w:numId w:val="25"/>
        </w:numPr>
        <w:ind w:right="51"/>
      </w:pPr>
      <w:r w:rsidRPr="00BB38AD">
        <w:t>Souza Farias SA de, Costa KS da, Martins JBL.</w:t>
      </w:r>
      <w:r w:rsidR="000943D9" w:rsidRPr="00BB38AD">
        <w:t>:</w:t>
      </w:r>
      <w:r w:rsidRPr="00BB38AD">
        <w:t xml:space="preserve"> Analysis of conformational, structural, magnetic, and electronic properties related to antioxidant activity: revisiting flavan, anthocyanidin, flavanone, flavonol, isoflavone, flavone, and flavan-3-ol. ACS Omega. 6(13):8908–8918</w:t>
      </w:r>
      <w:r w:rsidR="000943D9" w:rsidRPr="00BB38AD">
        <w:t xml:space="preserve"> (2021)</w:t>
      </w:r>
      <w:r w:rsidRPr="00BB38AD">
        <w:t xml:space="preserve">. </w:t>
      </w:r>
    </w:p>
    <w:p w14:paraId="7BFAAFB5" w14:textId="312F85C7" w:rsidR="00105096" w:rsidRPr="00BB38AD" w:rsidRDefault="00105096" w:rsidP="00105096">
      <w:pPr>
        <w:pStyle w:val="ListParagraph"/>
        <w:numPr>
          <w:ilvl w:val="0"/>
          <w:numId w:val="25"/>
        </w:numPr>
        <w:spacing w:after="274"/>
        <w:ind w:right="51"/>
      </w:pPr>
      <w:r w:rsidRPr="00BB38AD">
        <w:t>Megala M, Rajkumar BJM.</w:t>
      </w:r>
      <w:r w:rsidR="000943D9" w:rsidRPr="00BB38AD">
        <w:t>:</w:t>
      </w:r>
      <w:r w:rsidRPr="00BB38AD">
        <w:t xml:space="preserve"> Theoretical study of anthoxanthin dyes for dye sensitized solar cells (DSSCs). J Comput Electron. 15(2):557–568.  </w:t>
      </w:r>
      <w:r w:rsidR="000943D9" w:rsidRPr="00BB38AD">
        <w:t>(2016)</w:t>
      </w:r>
      <w:r w:rsidRPr="00BB38AD">
        <w:t xml:space="preserve">. </w:t>
      </w:r>
    </w:p>
    <w:p w14:paraId="419DE39E" w14:textId="0C15F8C3" w:rsidR="004A25CB" w:rsidRPr="00BB38AD" w:rsidRDefault="004A25CB" w:rsidP="004A25CB">
      <w:pPr>
        <w:pStyle w:val="ListParagraph"/>
        <w:numPr>
          <w:ilvl w:val="0"/>
          <w:numId w:val="25"/>
        </w:numPr>
        <w:ind w:right="51"/>
      </w:pPr>
      <w:r w:rsidRPr="00BB38AD">
        <w:t>Sulaiman GM.</w:t>
      </w:r>
      <w:r w:rsidR="000943D9" w:rsidRPr="00BB38AD">
        <w:t>:</w:t>
      </w:r>
      <w:r w:rsidRPr="00BB38AD">
        <w:t xml:space="preserve"> Molecular structure and anti-proliferative effect of galangin in HCT-116 cells: in vitro study. Food Sci Biotechnol. 25(1):247–252</w:t>
      </w:r>
      <w:r w:rsidR="000943D9" w:rsidRPr="00BB38AD">
        <w:t xml:space="preserve"> (2016)</w:t>
      </w:r>
    </w:p>
    <w:p w14:paraId="01320C0E" w14:textId="70B3211A" w:rsidR="004A25CB" w:rsidRPr="00BB38AD" w:rsidRDefault="004A25CB" w:rsidP="004A25CB">
      <w:pPr>
        <w:pStyle w:val="ListParagraph"/>
        <w:numPr>
          <w:ilvl w:val="0"/>
          <w:numId w:val="25"/>
        </w:numPr>
        <w:ind w:right="51"/>
      </w:pPr>
      <w:r w:rsidRPr="00BB38AD">
        <w:t>Morales Ochoa, H. D., Deriabina, A., &amp; Prutskij, T. Galangin: Effect of solution concentration on absorption and emission spectra. Spectrochimica Acta - Part A: Molecular and Biomolecular Spectroscopy, 349(November 2025), 127267</w:t>
      </w:r>
      <w:r w:rsidR="000943D9" w:rsidRPr="00BB38AD">
        <w:t xml:space="preserve"> (2026)</w:t>
      </w:r>
      <w:r w:rsidRPr="00BB38AD">
        <w:t>.</w:t>
      </w:r>
    </w:p>
    <w:p w14:paraId="23FEFAA5" w14:textId="17213334" w:rsidR="004A25CB" w:rsidRPr="00BB38AD" w:rsidRDefault="004A25CB" w:rsidP="004A25CB">
      <w:pPr>
        <w:pStyle w:val="ListParagraph"/>
        <w:numPr>
          <w:ilvl w:val="0"/>
          <w:numId w:val="25"/>
        </w:numPr>
        <w:ind w:right="51"/>
      </w:pPr>
      <w:r w:rsidRPr="00BB38AD">
        <w:t>Upadhye AS, Rajopadhye A, Dias L.</w:t>
      </w:r>
      <w:r w:rsidR="000943D9" w:rsidRPr="00BB38AD">
        <w:t>:</w:t>
      </w:r>
      <w:r w:rsidRPr="00BB38AD">
        <w:t xml:space="preserve"> Development and validation of HPTLC fingerprints of three species of Alpinia with biomarker Galangin. BMC Complement Altern Med. 18(16):1–5</w:t>
      </w:r>
      <w:r w:rsidR="000943D9" w:rsidRPr="00BB38AD">
        <w:t xml:space="preserve"> (2018).</w:t>
      </w:r>
      <w:r w:rsidRPr="00BB38AD">
        <w:t xml:space="preserve"> </w:t>
      </w:r>
    </w:p>
    <w:p w14:paraId="09A084C5" w14:textId="33655063" w:rsidR="004A25CB" w:rsidRPr="00BB38AD" w:rsidRDefault="004A25CB" w:rsidP="004A25CB">
      <w:pPr>
        <w:pStyle w:val="ListParagraph"/>
        <w:numPr>
          <w:ilvl w:val="0"/>
          <w:numId w:val="25"/>
        </w:numPr>
        <w:ind w:right="51"/>
      </w:pPr>
      <w:r w:rsidRPr="00BB38AD">
        <w:t>Jin, X., Sun, L., Li, D., Wang, C. L., &amp; Bai, F. Q.</w:t>
      </w:r>
      <w:r w:rsidR="00EF0E2F" w:rsidRPr="00BB38AD">
        <w:t>:</w:t>
      </w:r>
      <w:r w:rsidRPr="00BB38AD">
        <w:t xml:space="preserve"> Efficiency difference between furan- and thiophene-based D-π-A dyes in DSSCs explained by theoretical calculations. RSC Advances, 8(52), 29917–29923</w:t>
      </w:r>
      <w:r w:rsidR="000943D9" w:rsidRPr="00BB38AD">
        <w:t xml:space="preserve"> (2018).</w:t>
      </w:r>
    </w:p>
    <w:p w14:paraId="26C5D15E" w14:textId="3F29680F" w:rsidR="00570C55" w:rsidRPr="00BB38AD" w:rsidRDefault="00570C55" w:rsidP="00570C55">
      <w:pPr>
        <w:pStyle w:val="ListParagraph"/>
        <w:numPr>
          <w:ilvl w:val="0"/>
          <w:numId w:val="25"/>
        </w:numPr>
        <w:ind w:right="51"/>
      </w:pPr>
      <w:r w:rsidRPr="00BB38AD">
        <w:t>Agneeswari R, Kim D, Park SW, Jang S, Yang HS, Shin I, Jeong JH, Tamilavan V, Jung YK, Park SH.</w:t>
      </w:r>
      <w:r w:rsidR="00EF0E2F" w:rsidRPr="00BB38AD">
        <w:t>:</w:t>
      </w:r>
      <w:r w:rsidRPr="00BB38AD">
        <w:t xml:space="preserve"> Influence of thiophene and furan π–bridge on the properties of poly(benzodithiophene-alt-bis(π–bridge)pyrrolopyrrole-1,3dione) for organic solar cell applications. Polymer (Guildf). 229(123991):1– 10</w:t>
      </w:r>
      <w:r w:rsidR="00EF0E2F" w:rsidRPr="00BB38AD">
        <w:t xml:space="preserve"> (2021)</w:t>
      </w:r>
    </w:p>
    <w:p w14:paraId="768094BF" w14:textId="28A72C3E" w:rsidR="00105096" w:rsidRPr="00BB38AD" w:rsidRDefault="00105096" w:rsidP="00105096">
      <w:pPr>
        <w:pStyle w:val="ListParagraph"/>
        <w:numPr>
          <w:ilvl w:val="0"/>
          <w:numId w:val="25"/>
        </w:numPr>
        <w:ind w:right="51"/>
      </w:pPr>
      <w:r w:rsidRPr="00BB38AD">
        <w:t>Zhang L, Yang X, Li S, Yu Z, Hagfeldt A, Sun L.</w:t>
      </w:r>
      <w:r w:rsidR="00EF0E2F" w:rsidRPr="00BB38AD">
        <w:t>:</w:t>
      </w:r>
      <w:r w:rsidRPr="00BB38AD">
        <w:t xml:space="preserve"> Electron-withdrawing anchor group of sensitizer for dye-sensitized solar cells, cyanoacrylic acid, or benzoic acid? Sol RRL. 4(3):1–7</w:t>
      </w:r>
      <w:r w:rsidR="00EF0E2F" w:rsidRPr="00BB38AD">
        <w:t xml:space="preserve"> (2020)</w:t>
      </w:r>
      <w:r w:rsidRPr="00BB38AD">
        <w:t>.</w:t>
      </w:r>
    </w:p>
    <w:p w14:paraId="1893C7CE" w14:textId="1F1B2C10" w:rsidR="004A25CB" w:rsidRPr="00BB38AD" w:rsidRDefault="00105096" w:rsidP="00105096">
      <w:pPr>
        <w:pStyle w:val="ListParagraph"/>
        <w:numPr>
          <w:ilvl w:val="0"/>
          <w:numId w:val="25"/>
        </w:numPr>
        <w:ind w:right="51"/>
      </w:pPr>
      <w:r w:rsidRPr="00BB38AD">
        <w:t>Zhou H, Yang L, Stoneking S, You W.</w:t>
      </w:r>
      <w:r w:rsidR="00EF0E2F" w:rsidRPr="00BB38AD">
        <w:t>:</w:t>
      </w:r>
      <w:r w:rsidRPr="00BB38AD">
        <w:t xml:space="preserve"> A weak donor-strong acceptor strategy to design ideal polymers for organic solar cells. ACS Appl Mater Interfaces. 2(5):1377–1383</w:t>
      </w:r>
      <w:r w:rsidR="00EF0E2F" w:rsidRPr="00BB38AD">
        <w:t xml:space="preserve"> (2010).</w:t>
      </w:r>
    </w:p>
    <w:p w14:paraId="6AC61D5E" w14:textId="3712CF0D" w:rsidR="00105096" w:rsidRPr="00BB38AD" w:rsidRDefault="00105096" w:rsidP="00105096">
      <w:pPr>
        <w:pStyle w:val="ListParagraph"/>
        <w:numPr>
          <w:ilvl w:val="0"/>
          <w:numId w:val="25"/>
        </w:numPr>
        <w:ind w:right="51"/>
      </w:pPr>
      <w:r w:rsidRPr="00BB38AD">
        <w:t>Cowper P, Pockett A, Kociok-Köhn G, Cameron PJ, Lewis SE.</w:t>
      </w:r>
      <w:r w:rsidR="00EF0E2F" w:rsidRPr="00BB38AD">
        <w:t>:</w:t>
      </w:r>
      <w:r w:rsidRPr="00BB38AD">
        <w:t xml:space="preserve"> Azulene – Thiophene – Cyanoacrylic acid dyes with donor-π-acceptor structures. Synthesis, characterisation and evaluation in dye-sensitized solar cells. Tetrahedron. 74(22):2775–2786</w:t>
      </w:r>
      <w:r w:rsidR="00EF0E2F" w:rsidRPr="00BB38AD">
        <w:t xml:space="preserve"> (2018)</w:t>
      </w:r>
      <w:r w:rsidRPr="00BB38AD">
        <w:t xml:space="preserve">. </w:t>
      </w:r>
    </w:p>
    <w:p w14:paraId="7F7CAEEA" w14:textId="4D238A5F" w:rsidR="00105096" w:rsidRPr="00BB38AD" w:rsidRDefault="00105096" w:rsidP="00105096">
      <w:pPr>
        <w:pStyle w:val="ListParagraph"/>
        <w:numPr>
          <w:ilvl w:val="0"/>
          <w:numId w:val="25"/>
        </w:numPr>
        <w:ind w:right="51"/>
      </w:pPr>
      <w:r w:rsidRPr="00BB38AD">
        <w:t>Hashemi D, Ma X, Ansari R, Kim J, Kieffer J.</w:t>
      </w:r>
      <w:r w:rsidR="00EF0E2F" w:rsidRPr="00BB38AD">
        <w:t>:</w:t>
      </w:r>
      <w:r w:rsidRPr="00BB38AD">
        <w:t xml:space="preserve"> Design principles for the energy level tuning in donor/acceptor conjugated polymers. Phys Chem Chem Phys. 21(2):789–799</w:t>
      </w:r>
      <w:r w:rsidR="00EF0E2F" w:rsidRPr="00BB38AD">
        <w:t xml:space="preserve"> (2019)</w:t>
      </w:r>
      <w:r w:rsidRPr="00BB38AD">
        <w:t xml:space="preserve">. </w:t>
      </w:r>
    </w:p>
    <w:p w14:paraId="7FA2F7F5" w14:textId="048CE624" w:rsidR="00401620" w:rsidRPr="00BB38AD" w:rsidRDefault="00401620" w:rsidP="00105096">
      <w:pPr>
        <w:pStyle w:val="ListParagraph"/>
        <w:numPr>
          <w:ilvl w:val="0"/>
          <w:numId w:val="25"/>
        </w:numPr>
        <w:ind w:right="51"/>
      </w:pPr>
      <w:r w:rsidRPr="00BB38AD">
        <w:t xml:space="preserve">Neese F., Wennmohs F., Becker U., &amp; Riplinger, C.: The ORCA quantum chemistry program package, </w:t>
      </w:r>
      <w:hyperlink r:id="rId14" w:tgtFrame="_blank" w:history="1">
        <w:r w:rsidRPr="00BB38AD">
          <w:rPr>
            <w:rStyle w:val="Hyperlink"/>
          </w:rPr>
          <w:t>J. Chem. Phys. 152, 224108</w:t>
        </w:r>
      </w:hyperlink>
      <w:r w:rsidRPr="00BB38AD">
        <w:t xml:space="preserve"> (2020).</w:t>
      </w:r>
    </w:p>
    <w:p w14:paraId="7D4F3DAD" w14:textId="5B20979D" w:rsidR="00C054CD" w:rsidRPr="00BB38AD" w:rsidRDefault="00C054CD" w:rsidP="00C054CD">
      <w:pPr>
        <w:pStyle w:val="ListParagraph"/>
        <w:numPr>
          <w:ilvl w:val="0"/>
          <w:numId w:val="25"/>
        </w:numPr>
        <w:ind w:right="51"/>
      </w:pPr>
      <w:r w:rsidRPr="00BB38AD">
        <w:lastRenderedPageBreak/>
        <w:t>Kohn W, Sham LJ.</w:t>
      </w:r>
      <w:r w:rsidR="00EF0E2F" w:rsidRPr="00BB38AD">
        <w:t>:</w:t>
      </w:r>
      <w:r w:rsidRPr="00BB38AD">
        <w:t xml:space="preserve"> Self-consistent equations including exchange and correlation effects. Phys Rev. 140(4A):A 1133-A 1138</w:t>
      </w:r>
      <w:r w:rsidR="00EF0E2F" w:rsidRPr="00BB38AD">
        <w:t xml:space="preserve"> (1965)</w:t>
      </w:r>
      <w:r w:rsidRPr="00BB38AD">
        <w:t xml:space="preserve">. </w:t>
      </w:r>
    </w:p>
    <w:p w14:paraId="00BD85C1" w14:textId="77777777" w:rsidR="00B06089" w:rsidRPr="00BB38AD" w:rsidRDefault="00B06089" w:rsidP="00B06089">
      <w:pPr>
        <w:pStyle w:val="ListParagraph"/>
        <w:numPr>
          <w:ilvl w:val="0"/>
          <w:numId w:val="25"/>
        </w:numPr>
        <w:ind w:right="51"/>
      </w:pPr>
      <w:r w:rsidRPr="00BB38AD">
        <w:t>Becke AD.: Density-functional thermochemistry. III. The role of exact exchange. J Chem Phys. 98(7):5648–5652 (1993).</w:t>
      </w:r>
    </w:p>
    <w:p w14:paraId="003B5F24" w14:textId="2440DEF6" w:rsidR="00B06089" w:rsidRPr="00BB38AD" w:rsidRDefault="00D53FEB" w:rsidP="00C054CD">
      <w:pPr>
        <w:pStyle w:val="ListParagraph"/>
        <w:numPr>
          <w:ilvl w:val="0"/>
          <w:numId w:val="25"/>
        </w:numPr>
        <w:ind w:right="51"/>
      </w:pPr>
      <w:r w:rsidRPr="00BB38AD">
        <w:t xml:space="preserve">Weigend F. and Ahlrichs R.: </w:t>
      </w:r>
      <w:r w:rsidRPr="00BB38AD">
        <w:rPr>
          <w:lang w:val="en-ID"/>
        </w:rPr>
        <w:t xml:space="preserve">Balanced basis sets of split valence, triple zeta valence and quadruple zeta valence quality for H to Rn: Design and assessment of accuracy. </w:t>
      </w:r>
      <w:r w:rsidRPr="00BB38AD">
        <w:t>Phys. Chem. Chem. Phys. 7 (18), 3297–3305 (2005).</w:t>
      </w:r>
    </w:p>
    <w:p w14:paraId="760F1326" w14:textId="77777777" w:rsidR="006E19C0" w:rsidRPr="00BB38AD" w:rsidRDefault="006E19C0" w:rsidP="006E19C0">
      <w:pPr>
        <w:pStyle w:val="ListParagraph"/>
        <w:numPr>
          <w:ilvl w:val="0"/>
          <w:numId w:val="25"/>
        </w:numPr>
        <w:ind w:right="51"/>
      </w:pPr>
      <w:r w:rsidRPr="00BB38AD">
        <w:t>Caldeweyher, E., Ehlert, S., Hansen, A., Neugebauer, H., Spicher, S., Bannwarth, C., &amp; Grimme, S.: A generally applicable atomic-charge dependent London dispersion correction. The Journal of Chemical Physics, 150(15), 154122 (2019).</w:t>
      </w:r>
    </w:p>
    <w:p w14:paraId="7D939815" w14:textId="76633407" w:rsidR="006F6B66" w:rsidRPr="00BB38AD" w:rsidRDefault="006F6B66" w:rsidP="006F6B66">
      <w:pPr>
        <w:pStyle w:val="ListParagraph"/>
        <w:numPr>
          <w:ilvl w:val="0"/>
          <w:numId w:val="25"/>
        </w:numPr>
        <w:ind w:right="51"/>
      </w:pPr>
      <w:r w:rsidRPr="00BB38AD">
        <w:t xml:space="preserve">Helmich-Paris, B., de Souza, B., Neese, F., &amp; Izsák, R.: An improved chain of spheres for exchange algorithm. J. Chem. Phys. 155(10) (2021). </w:t>
      </w:r>
    </w:p>
    <w:p w14:paraId="179923B0" w14:textId="5ED8309D" w:rsidR="00D53FEB" w:rsidRPr="00BB38AD" w:rsidRDefault="00D53FEB" w:rsidP="00D53FEB">
      <w:pPr>
        <w:pStyle w:val="ListParagraph"/>
        <w:numPr>
          <w:ilvl w:val="0"/>
          <w:numId w:val="25"/>
        </w:numPr>
        <w:ind w:right="51"/>
      </w:pPr>
      <w:r w:rsidRPr="00BB38AD">
        <w:t>Runge E., Gross EKU.: Density functional theory for time-dependent systems. Phys Rev Lett. 52(12):997–1000 (1984).</w:t>
      </w:r>
    </w:p>
    <w:p w14:paraId="770933F9" w14:textId="5C3524B4" w:rsidR="0046017A" w:rsidRPr="00BB38AD" w:rsidRDefault="0046017A" w:rsidP="0046017A">
      <w:pPr>
        <w:pStyle w:val="ListParagraph"/>
        <w:numPr>
          <w:ilvl w:val="0"/>
          <w:numId w:val="25"/>
        </w:numPr>
        <w:ind w:right="51"/>
      </w:pPr>
      <w:r w:rsidRPr="00BB38AD">
        <w:t>Yanai, T., Tew, D. P., &amp; Handy, N. C.: A new hybrid exchange–correlation functional using the Coulomb-attenuating method (CAM-B3LYP). Chemical Physics Letters, 393(1–3), 51–57 (2004).</w:t>
      </w:r>
    </w:p>
    <w:p w14:paraId="311A0AA1" w14:textId="27EAD9BD" w:rsidR="00D53FEB" w:rsidRPr="00BB38AD" w:rsidRDefault="00D53FEB" w:rsidP="00D53FEB">
      <w:pPr>
        <w:pStyle w:val="ListParagraph"/>
        <w:numPr>
          <w:ilvl w:val="0"/>
          <w:numId w:val="25"/>
        </w:numPr>
        <w:ind w:right="51"/>
      </w:pPr>
      <w:r w:rsidRPr="00BB38AD">
        <w:t>Barone V., Cossi M.: Quantum Calculation of Molecular Energies and Energy Gradients in Solution by a Conductor Equivalent Sphere Model.</w:t>
      </w:r>
      <w:r w:rsidRPr="00BB38AD">
        <w:br/>
      </w:r>
      <w:hyperlink r:id="rId15" w:tgtFrame="_blank" w:history="1">
        <w:r w:rsidRPr="00BB38AD">
          <w:t>J. Phys. Chem. A 102, 11, 1995–2001</w:t>
        </w:r>
      </w:hyperlink>
      <w:r w:rsidRPr="00BB38AD">
        <w:t xml:space="preserve"> (1998).</w:t>
      </w:r>
    </w:p>
    <w:p w14:paraId="32E85F34" w14:textId="77777777" w:rsidR="00D53FEB" w:rsidRPr="00401620" w:rsidRDefault="00D53FEB" w:rsidP="00D53FEB">
      <w:pPr>
        <w:pStyle w:val="ListParagraph"/>
        <w:ind w:left="349" w:right="51" w:firstLine="0"/>
      </w:pPr>
    </w:p>
    <w:sectPr w:rsidR="00D53FEB" w:rsidRPr="00401620" w:rsidSect="009F7FCE">
      <w:headerReference w:type="even" r:id="rId16"/>
      <w:headerReference w:type="default" r:id="rId17"/>
      <w:pgSz w:w="11906" w:h="16838" w:code="9"/>
      <w:pgMar w:top="2948" w:right="2494" w:bottom="2948" w:left="2494" w:header="2381" w:footer="2324" w:gutter="0"/>
      <w:cols w:space="227"/>
      <w:titlePg/>
      <w:docGrid w:linePitch="2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48497" w14:textId="77777777" w:rsidR="008B7233" w:rsidRDefault="008B7233">
      <w:r>
        <w:separator/>
      </w:r>
    </w:p>
  </w:endnote>
  <w:endnote w:type="continuationSeparator" w:id="0">
    <w:p w14:paraId="3473BBBA" w14:textId="77777777" w:rsidR="008B7233" w:rsidRDefault="008B7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B993F1" w14:textId="77777777" w:rsidR="008B7233" w:rsidRDefault="008B7233" w:rsidP="009F7FCE">
      <w:pPr>
        <w:ind w:firstLine="0"/>
      </w:pPr>
      <w:r>
        <w:separator/>
      </w:r>
    </w:p>
  </w:footnote>
  <w:footnote w:type="continuationSeparator" w:id="0">
    <w:p w14:paraId="62BC6923" w14:textId="77777777" w:rsidR="008B7233" w:rsidRDefault="008B7233" w:rsidP="009F7FCE">
      <w:pPr>
        <w:ind w:firstLin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505B9" w14:textId="77777777" w:rsidR="009B2539" w:rsidRDefault="009B2539" w:rsidP="00F321B4">
    <w:pPr>
      <w:pStyle w:val="Header"/>
    </w:pPr>
    <w:r>
      <w:fldChar w:fldCharType="begin"/>
    </w:r>
    <w:r>
      <w:instrText>PAGE   \* MERGEFORMAT</w:instrText>
    </w:r>
    <w:r>
      <w:fldChar w:fldCharType="separate"/>
    </w:r>
    <w:r w:rsidR="00DC2CA9">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503BC" w14:textId="77777777" w:rsidR="002D48C5" w:rsidRDefault="002D48C5" w:rsidP="002D48C5">
    <w:pPr>
      <w:pStyle w:val="Header"/>
      <w:jc w:val="right"/>
    </w:pPr>
    <w:r>
      <w:fldChar w:fldCharType="begin"/>
    </w:r>
    <w:r>
      <w:instrText>PAGE   \* MERGEFORMAT</w:instrText>
    </w:r>
    <w:r>
      <w:fldChar w:fldCharType="separate"/>
    </w:r>
    <w:r w:rsidR="001A02F0">
      <w:rPr>
        <w:noProof/>
      </w:rP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97F84"/>
    <w:multiLevelType w:val="multilevel"/>
    <w:tmpl w:val="77162394"/>
    <w:styleLink w:val="itemization1"/>
    <w:lvl w:ilvl="0">
      <w:start w:val="1"/>
      <w:numFmt w:val="bullet"/>
      <w:pStyle w:val="bulletitem"/>
      <w:lvlText w:val=""/>
      <w:lvlJc w:val="left"/>
      <w:pPr>
        <w:tabs>
          <w:tab w:val="num" w:pos="227"/>
        </w:tabs>
        <w:ind w:left="227" w:hanging="227"/>
      </w:pPr>
      <w:rPr>
        <w:rFonts w:ascii="Symbol" w:hAnsi="Symbol" w:hint="default"/>
      </w:rPr>
    </w:lvl>
    <w:lvl w:ilvl="1">
      <w:start w:val="1"/>
      <w:numFmt w:val="bullet"/>
      <w:lvlText w:val="─"/>
      <w:lvlJc w:val="left"/>
      <w:pPr>
        <w:tabs>
          <w:tab w:val="num" w:pos="454"/>
        </w:tabs>
        <w:ind w:left="454" w:hanging="227"/>
      </w:pPr>
      <w:rPr>
        <w:rFonts w:ascii="Times New Roman" w:hAnsi="Times New Roman" w:cs="Times New Roman" w:hint="default"/>
      </w:rPr>
    </w:lvl>
    <w:lvl w:ilvl="2">
      <w:start w:val="1"/>
      <w:numFmt w:val="bullet"/>
      <w:lvlText w:val="o"/>
      <w:lvlJc w:val="left"/>
      <w:pPr>
        <w:tabs>
          <w:tab w:val="num" w:pos="680"/>
        </w:tabs>
        <w:ind w:left="680" w:hanging="226"/>
      </w:pPr>
      <w:rPr>
        <w:rFonts w:ascii="Courier New" w:hAnsi="Courier New" w:hint="default"/>
      </w:rPr>
    </w:lvl>
    <w:lvl w:ilvl="3">
      <w:start w:val="1"/>
      <w:numFmt w:val="bullet"/>
      <w:lvlText w:val=""/>
      <w:lvlJc w:val="left"/>
      <w:pPr>
        <w:tabs>
          <w:tab w:val="num" w:pos="907"/>
        </w:tabs>
        <w:ind w:left="907" w:hanging="227"/>
      </w:pPr>
      <w:rPr>
        <w:rFonts w:ascii="Wingdings" w:hAnsi="Wingdings" w:hint="default"/>
      </w:rPr>
    </w:lvl>
    <w:lvl w:ilvl="4">
      <w:start w:val="1"/>
      <w:numFmt w:val="bullet"/>
      <w:lvlText w:val="o"/>
      <w:lvlJc w:val="left"/>
      <w:pPr>
        <w:tabs>
          <w:tab w:val="num" w:pos="1134"/>
        </w:tabs>
        <w:ind w:left="1134" w:hanging="227"/>
      </w:pPr>
      <w:rPr>
        <w:rFonts w:ascii="Courier New" w:hAnsi="Courier New" w:hint="default"/>
      </w:rPr>
    </w:lvl>
    <w:lvl w:ilvl="5">
      <w:start w:val="1"/>
      <w:numFmt w:val="bullet"/>
      <w:lvlText w:val=""/>
      <w:lvlJc w:val="left"/>
      <w:pPr>
        <w:tabs>
          <w:tab w:val="num" w:pos="1361"/>
        </w:tabs>
        <w:ind w:left="1361" w:hanging="227"/>
      </w:pPr>
      <w:rPr>
        <w:rFonts w:ascii="Wingdings" w:hAnsi="Wingdings" w:hint="default"/>
      </w:rPr>
    </w:lvl>
    <w:lvl w:ilvl="6">
      <w:start w:val="1"/>
      <w:numFmt w:val="bullet"/>
      <w:lvlText w:val=""/>
      <w:lvlJc w:val="left"/>
      <w:pPr>
        <w:tabs>
          <w:tab w:val="num" w:pos="1588"/>
        </w:tabs>
        <w:ind w:left="1588" w:hanging="227"/>
      </w:pPr>
      <w:rPr>
        <w:rFonts w:ascii="Symbol" w:hAnsi="Symbol" w:hint="default"/>
      </w:rPr>
    </w:lvl>
    <w:lvl w:ilvl="7">
      <w:start w:val="1"/>
      <w:numFmt w:val="bullet"/>
      <w:lvlText w:val="o"/>
      <w:lvlJc w:val="left"/>
      <w:pPr>
        <w:tabs>
          <w:tab w:val="num" w:pos="1814"/>
        </w:tabs>
        <w:ind w:left="1814" w:hanging="226"/>
      </w:pPr>
      <w:rPr>
        <w:rFonts w:ascii="Courier New" w:hAnsi="Courier New" w:hint="default"/>
      </w:rPr>
    </w:lvl>
    <w:lvl w:ilvl="8">
      <w:start w:val="1"/>
      <w:numFmt w:val="bullet"/>
      <w:lvlText w:val=""/>
      <w:lvlJc w:val="left"/>
      <w:pPr>
        <w:tabs>
          <w:tab w:val="num" w:pos="2041"/>
        </w:tabs>
        <w:ind w:left="2041" w:hanging="227"/>
      </w:pPr>
      <w:rPr>
        <w:rFonts w:ascii="Wingdings" w:hAnsi="Wingdings" w:hint="default"/>
      </w:rPr>
    </w:lvl>
  </w:abstractNum>
  <w:abstractNum w:abstractNumId="1" w15:restartNumberingAfterBreak="0">
    <w:nsid w:val="2FEB181A"/>
    <w:multiLevelType w:val="hybridMultilevel"/>
    <w:tmpl w:val="B9E8AC8C"/>
    <w:lvl w:ilvl="0" w:tplc="77DE175E">
      <w:start w:val="1"/>
      <w:numFmt w:val="decimal"/>
      <w:lvlText w:val="%1."/>
      <w:lvlJc w:val="left"/>
      <w:pPr>
        <w:ind w:left="349" w:hanging="360"/>
      </w:pPr>
      <w:rPr>
        <w:rFonts w:hint="default"/>
      </w:rPr>
    </w:lvl>
    <w:lvl w:ilvl="1" w:tplc="38090019" w:tentative="1">
      <w:start w:val="1"/>
      <w:numFmt w:val="lowerLetter"/>
      <w:lvlText w:val="%2."/>
      <w:lvlJc w:val="left"/>
      <w:pPr>
        <w:ind w:left="1069" w:hanging="360"/>
      </w:pPr>
    </w:lvl>
    <w:lvl w:ilvl="2" w:tplc="3809001B" w:tentative="1">
      <w:start w:val="1"/>
      <w:numFmt w:val="lowerRoman"/>
      <w:lvlText w:val="%3."/>
      <w:lvlJc w:val="right"/>
      <w:pPr>
        <w:ind w:left="1789" w:hanging="180"/>
      </w:pPr>
    </w:lvl>
    <w:lvl w:ilvl="3" w:tplc="3809000F" w:tentative="1">
      <w:start w:val="1"/>
      <w:numFmt w:val="decimal"/>
      <w:lvlText w:val="%4."/>
      <w:lvlJc w:val="left"/>
      <w:pPr>
        <w:ind w:left="2509" w:hanging="360"/>
      </w:pPr>
    </w:lvl>
    <w:lvl w:ilvl="4" w:tplc="38090019" w:tentative="1">
      <w:start w:val="1"/>
      <w:numFmt w:val="lowerLetter"/>
      <w:lvlText w:val="%5."/>
      <w:lvlJc w:val="left"/>
      <w:pPr>
        <w:ind w:left="3229" w:hanging="360"/>
      </w:pPr>
    </w:lvl>
    <w:lvl w:ilvl="5" w:tplc="3809001B" w:tentative="1">
      <w:start w:val="1"/>
      <w:numFmt w:val="lowerRoman"/>
      <w:lvlText w:val="%6."/>
      <w:lvlJc w:val="right"/>
      <w:pPr>
        <w:ind w:left="3949" w:hanging="180"/>
      </w:pPr>
    </w:lvl>
    <w:lvl w:ilvl="6" w:tplc="3809000F" w:tentative="1">
      <w:start w:val="1"/>
      <w:numFmt w:val="decimal"/>
      <w:lvlText w:val="%7."/>
      <w:lvlJc w:val="left"/>
      <w:pPr>
        <w:ind w:left="4669" w:hanging="360"/>
      </w:pPr>
    </w:lvl>
    <w:lvl w:ilvl="7" w:tplc="38090019" w:tentative="1">
      <w:start w:val="1"/>
      <w:numFmt w:val="lowerLetter"/>
      <w:lvlText w:val="%8."/>
      <w:lvlJc w:val="left"/>
      <w:pPr>
        <w:ind w:left="5389" w:hanging="360"/>
      </w:pPr>
    </w:lvl>
    <w:lvl w:ilvl="8" w:tplc="3809001B" w:tentative="1">
      <w:start w:val="1"/>
      <w:numFmt w:val="lowerRoman"/>
      <w:lvlText w:val="%9."/>
      <w:lvlJc w:val="right"/>
      <w:pPr>
        <w:ind w:left="6109" w:hanging="180"/>
      </w:pPr>
    </w:lvl>
  </w:abstractNum>
  <w:abstractNum w:abstractNumId="2" w15:restartNumberingAfterBreak="0">
    <w:nsid w:val="6F404C9F"/>
    <w:multiLevelType w:val="multilevel"/>
    <w:tmpl w:val="BEDA5F46"/>
    <w:styleLink w:val="itemization2"/>
    <w:lvl w:ilvl="0">
      <w:start w:val="1"/>
      <w:numFmt w:val="bullet"/>
      <w:pStyle w:val="dashitem"/>
      <w:lvlText w:val="─"/>
      <w:lvlJc w:val="left"/>
      <w:pPr>
        <w:tabs>
          <w:tab w:val="num" w:pos="227"/>
        </w:tabs>
        <w:ind w:left="227" w:hanging="227"/>
      </w:pPr>
      <w:rPr>
        <w:rFonts w:ascii="Times New Roman" w:hAnsi="Times New Roman" w:cs="Times New Roman" w:hint="default"/>
      </w:rPr>
    </w:lvl>
    <w:lvl w:ilvl="1">
      <w:start w:val="1"/>
      <w:numFmt w:val="bullet"/>
      <w:lvlText w:val=""/>
      <w:lvlJc w:val="left"/>
      <w:pPr>
        <w:tabs>
          <w:tab w:val="num" w:pos="454"/>
        </w:tabs>
        <w:ind w:left="454" w:hanging="227"/>
      </w:pPr>
      <w:rPr>
        <w:rFonts w:ascii="Symbol" w:hAnsi="Symbol" w:hint="default"/>
      </w:rPr>
    </w:lvl>
    <w:lvl w:ilvl="2">
      <w:start w:val="1"/>
      <w:numFmt w:val="bullet"/>
      <w:lvlText w:val="○"/>
      <w:lvlJc w:val="left"/>
      <w:pPr>
        <w:tabs>
          <w:tab w:val="num" w:pos="680"/>
        </w:tabs>
        <w:ind w:left="680" w:hanging="226"/>
      </w:pPr>
      <w:rPr>
        <w:rFonts w:ascii="Times New Roman" w:hAnsi="Times New Roman" w:cs="Times New Roman" w:hint="default"/>
      </w:rPr>
    </w:lvl>
    <w:lvl w:ilvl="3">
      <w:start w:val="1"/>
      <w:numFmt w:val="bullet"/>
      <w:lvlText w:val="■"/>
      <w:lvlJc w:val="left"/>
      <w:pPr>
        <w:tabs>
          <w:tab w:val="num" w:pos="907"/>
        </w:tabs>
        <w:ind w:left="907" w:hanging="227"/>
      </w:pPr>
      <w:rPr>
        <w:rFonts w:ascii="Times New Roman" w:hAnsi="Times New Roman" w:cs="Times New Roman" w:hint="default"/>
      </w:rPr>
    </w:lvl>
    <w:lvl w:ilvl="4">
      <w:start w:val="1"/>
      <w:numFmt w:val="bullet"/>
      <w:lvlText w:val="○"/>
      <w:lvlJc w:val="left"/>
      <w:pPr>
        <w:tabs>
          <w:tab w:val="num" w:pos="1134"/>
        </w:tabs>
        <w:ind w:left="1134" w:hanging="227"/>
      </w:pPr>
      <w:rPr>
        <w:rFonts w:ascii="Times New Roman" w:hAnsi="Times New Roman" w:cs="Times New Roman" w:hint="default"/>
      </w:rPr>
    </w:lvl>
    <w:lvl w:ilvl="5">
      <w:start w:val="1"/>
      <w:numFmt w:val="bullet"/>
      <w:lvlText w:val="■"/>
      <w:lvlJc w:val="left"/>
      <w:pPr>
        <w:tabs>
          <w:tab w:val="num" w:pos="1361"/>
        </w:tabs>
        <w:ind w:left="1361" w:hanging="227"/>
      </w:pPr>
      <w:rPr>
        <w:rFonts w:ascii="Times New Roman" w:hAnsi="Times New Roman" w:cs="Times New Roman" w:hint="default"/>
      </w:rPr>
    </w:lvl>
    <w:lvl w:ilvl="6">
      <w:start w:val="1"/>
      <w:numFmt w:val="bullet"/>
      <w:lvlText w:val=""/>
      <w:lvlJc w:val="left"/>
      <w:pPr>
        <w:tabs>
          <w:tab w:val="num" w:pos="1588"/>
        </w:tabs>
        <w:ind w:left="1588" w:hanging="227"/>
      </w:pPr>
      <w:rPr>
        <w:rFonts w:ascii="Symbol" w:hAnsi="Symbol" w:hint="default"/>
      </w:rPr>
    </w:lvl>
    <w:lvl w:ilvl="7">
      <w:start w:val="1"/>
      <w:numFmt w:val="bullet"/>
      <w:lvlText w:val="○"/>
      <w:lvlJc w:val="left"/>
      <w:pPr>
        <w:tabs>
          <w:tab w:val="num" w:pos="1814"/>
        </w:tabs>
        <w:ind w:left="1814" w:hanging="226"/>
      </w:pPr>
      <w:rPr>
        <w:rFonts w:ascii="Times New Roman" w:hAnsi="Times New Roman" w:cs="Times New Roman" w:hint="default"/>
      </w:rPr>
    </w:lvl>
    <w:lvl w:ilvl="8">
      <w:start w:val="1"/>
      <w:numFmt w:val="bullet"/>
      <w:lvlText w:val="■"/>
      <w:lvlJc w:val="left"/>
      <w:pPr>
        <w:tabs>
          <w:tab w:val="num" w:pos="2041"/>
        </w:tabs>
        <w:ind w:left="2041" w:hanging="227"/>
      </w:pPr>
      <w:rPr>
        <w:rFonts w:ascii="Times New Roman" w:hAnsi="Times New Roman" w:cs="Times New Roman" w:hint="default"/>
      </w:rPr>
    </w:lvl>
  </w:abstractNum>
  <w:abstractNum w:abstractNumId="3" w15:restartNumberingAfterBreak="0">
    <w:nsid w:val="7738779A"/>
    <w:multiLevelType w:val="multilevel"/>
    <w:tmpl w:val="77EC1FB2"/>
    <w:styleLink w:val="headings"/>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567"/>
        </w:tabs>
        <w:ind w:left="567" w:hanging="567"/>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964"/>
        </w:tabs>
        <w:ind w:left="964" w:hanging="964"/>
      </w:pPr>
      <w:rPr>
        <w:rFonts w:ascii="Times New Roman" w:hAnsi="Times New Roman" w:hint="default"/>
        <w:b w:val="0"/>
        <w:i/>
        <w:sz w:val="20"/>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7B274BC8"/>
    <w:multiLevelType w:val="multilevel"/>
    <w:tmpl w:val="72E65396"/>
    <w:styleLink w:val="arabnumitem"/>
    <w:lvl w:ilvl="0">
      <w:start w:val="1"/>
      <w:numFmt w:val="decimal"/>
      <w:lvlRestart w:val="0"/>
      <w:pStyle w:val="numitem"/>
      <w:lvlText w:val="%1."/>
      <w:lvlJc w:val="right"/>
      <w:pPr>
        <w:tabs>
          <w:tab w:val="num" w:pos="0"/>
        </w:tabs>
        <w:ind w:left="227" w:hanging="57"/>
      </w:pPr>
      <w:rPr>
        <w:rFonts w:hint="default"/>
      </w:rPr>
    </w:lvl>
    <w:lvl w:ilvl="1">
      <w:start w:val="1"/>
      <w:numFmt w:val="lowerLetter"/>
      <w:lvlText w:val="%2."/>
      <w:lvlJc w:val="left"/>
      <w:pPr>
        <w:tabs>
          <w:tab w:val="num" w:pos="227"/>
        </w:tabs>
        <w:ind w:left="454" w:hanging="227"/>
      </w:pPr>
      <w:rPr>
        <w:rFonts w:hint="default"/>
      </w:rPr>
    </w:lvl>
    <w:lvl w:ilvl="2">
      <w:start w:val="1"/>
      <w:numFmt w:val="decimal"/>
      <w:lvlText w:val="(%3)"/>
      <w:lvlJc w:val="left"/>
      <w:pPr>
        <w:tabs>
          <w:tab w:val="num" w:pos="454"/>
        </w:tabs>
        <w:ind w:left="794" w:hanging="340"/>
      </w:pPr>
      <w:rPr>
        <w:rFonts w:hint="default"/>
      </w:rPr>
    </w:lvl>
    <w:lvl w:ilvl="3">
      <w:start w:val="1"/>
      <w:numFmt w:val="lowerRoman"/>
      <w:lvlText w:val="%4."/>
      <w:lvlJc w:val="left"/>
      <w:pPr>
        <w:tabs>
          <w:tab w:val="num" w:pos="794"/>
        </w:tabs>
        <w:ind w:left="1077" w:hanging="283"/>
      </w:pPr>
      <w:rPr>
        <w:rFonts w:hint="default"/>
      </w:rPr>
    </w:lvl>
    <w:lvl w:ilvl="4">
      <w:start w:val="1"/>
      <w:numFmt w:val="lowerLetter"/>
      <w:lvlText w:val="(%5)"/>
      <w:lvlJc w:val="left"/>
      <w:pPr>
        <w:tabs>
          <w:tab w:val="num" w:pos="1077"/>
        </w:tabs>
        <w:ind w:left="1360" w:hanging="283"/>
      </w:pPr>
      <w:rPr>
        <w:rFonts w:hint="default"/>
      </w:rPr>
    </w:lvl>
    <w:lvl w:ilvl="5">
      <w:start w:val="1"/>
      <w:numFmt w:val="upperLetter"/>
      <w:lvlText w:val="%6."/>
      <w:lvlJc w:val="left"/>
      <w:pPr>
        <w:tabs>
          <w:tab w:val="num" w:pos="1360"/>
        </w:tabs>
        <w:ind w:left="1700" w:hanging="340"/>
      </w:pPr>
      <w:rPr>
        <w:rFonts w:hint="default"/>
      </w:rPr>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D9521C8"/>
    <w:multiLevelType w:val="multilevel"/>
    <w:tmpl w:val="F35CB8F2"/>
    <w:styleLink w:val="referencelist"/>
    <w:lvl w:ilvl="0">
      <w:start w:val="1"/>
      <w:numFmt w:val="decimal"/>
      <w:pStyle w:val="referenceitem"/>
      <w:lvlText w:val="%1."/>
      <w:lvlJc w:val="right"/>
      <w:pPr>
        <w:tabs>
          <w:tab w:val="num" w:pos="341"/>
        </w:tabs>
        <w:ind w:left="341" w:hanging="114"/>
      </w:pPr>
      <w:rPr>
        <w:rFonts w:hint="default"/>
      </w:rPr>
    </w:lvl>
    <w:lvl w:ilvl="1">
      <w:start w:val="1"/>
      <w:numFmt w:val="lowerLetter"/>
      <w:lvlText w:val="%2."/>
      <w:lvlJc w:val="left"/>
      <w:pPr>
        <w:tabs>
          <w:tab w:val="num" w:pos="1896"/>
        </w:tabs>
        <w:ind w:left="1896" w:hanging="360"/>
      </w:pPr>
      <w:rPr>
        <w:rFonts w:hint="default"/>
      </w:rPr>
    </w:lvl>
    <w:lvl w:ilvl="2">
      <w:start w:val="1"/>
      <w:numFmt w:val="lowerRoman"/>
      <w:lvlText w:val="%3."/>
      <w:lvlJc w:val="right"/>
      <w:pPr>
        <w:tabs>
          <w:tab w:val="num" w:pos="2616"/>
        </w:tabs>
        <w:ind w:left="2616" w:hanging="180"/>
      </w:pPr>
      <w:rPr>
        <w:rFonts w:hint="default"/>
      </w:rPr>
    </w:lvl>
    <w:lvl w:ilvl="3">
      <w:start w:val="1"/>
      <w:numFmt w:val="decimal"/>
      <w:lvlText w:val="%4."/>
      <w:lvlJc w:val="left"/>
      <w:pPr>
        <w:tabs>
          <w:tab w:val="num" w:pos="3336"/>
        </w:tabs>
        <w:ind w:left="3336" w:hanging="360"/>
      </w:pPr>
      <w:rPr>
        <w:rFonts w:hint="default"/>
      </w:rPr>
    </w:lvl>
    <w:lvl w:ilvl="4">
      <w:start w:val="1"/>
      <w:numFmt w:val="lowerLetter"/>
      <w:lvlText w:val="%5."/>
      <w:lvlJc w:val="left"/>
      <w:pPr>
        <w:tabs>
          <w:tab w:val="num" w:pos="4056"/>
        </w:tabs>
        <w:ind w:left="4056" w:hanging="360"/>
      </w:pPr>
      <w:rPr>
        <w:rFonts w:hint="default"/>
      </w:rPr>
    </w:lvl>
    <w:lvl w:ilvl="5">
      <w:start w:val="1"/>
      <w:numFmt w:val="lowerRoman"/>
      <w:lvlText w:val="%6."/>
      <w:lvlJc w:val="right"/>
      <w:pPr>
        <w:tabs>
          <w:tab w:val="num" w:pos="4776"/>
        </w:tabs>
        <w:ind w:left="4776" w:hanging="180"/>
      </w:pPr>
      <w:rPr>
        <w:rFonts w:hint="default"/>
      </w:rPr>
    </w:lvl>
    <w:lvl w:ilvl="6">
      <w:start w:val="1"/>
      <w:numFmt w:val="decimal"/>
      <w:lvlText w:val="%7."/>
      <w:lvlJc w:val="left"/>
      <w:pPr>
        <w:tabs>
          <w:tab w:val="num" w:pos="5496"/>
        </w:tabs>
        <w:ind w:left="5496" w:hanging="360"/>
      </w:pPr>
      <w:rPr>
        <w:rFonts w:hint="default"/>
      </w:rPr>
    </w:lvl>
    <w:lvl w:ilvl="7">
      <w:start w:val="1"/>
      <w:numFmt w:val="lowerLetter"/>
      <w:lvlText w:val="%8."/>
      <w:lvlJc w:val="left"/>
      <w:pPr>
        <w:tabs>
          <w:tab w:val="num" w:pos="6216"/>
        </w:tabs>
        <w:ind w:left="6216" w:hanging="360"/>
      </w:pPr>
      <w:rPr>
        <w:rFonts w:hint="default"/>
      </w:rPr>
    </w:lvl>
    <w:lvl w:ilvl="8">
      <w:start w:val="1"/>
      <w:numFmt w:val="lowerRoman"/>
      <w:lvlText w:val="%9."/>
      <w:lvlJc w:val="right"/>
      <w:pPr>
        <w:tabs>
          <w:tab w:val="num" w:pos="6936"/>
        </w:tabs>
        <w:ind w:left="6936" w:hanging="180"/>
      </w:pPr>
      <w:rPr>
        <w:rFonts w:hint="default"/>
      </w:rPr>
    </w:lvl>
  </w:abstractNum>
  <w:num w:numId="1" w16cid:durableId="684552504">
    <w:abstractNumId w:val="0"/>
  </w:num>
  <w:num w:numId="2" w16cid:durableId="693842718">
    <w:abstractNumId w:val="0"/>
  </w:num>
  <w:num w:numId="3" w16cid:durableId="830102323">
    <w:abstractNumId w:val="2"/>
  </w:num>
  <w:num w:numId="4" w16cid:durableId="1506284113">
    <w:abstractNumId w:val="2"/>
  </w:num>
  <w:num w:numId="5" w16cid:durableId="1937247969">
    <w:abstractNumId w:val="4"/>
  </w:num>
  <w:num w:numId="6" w16cid:durableId="740172905">
    <w:abstractNumId w:val="4"/>
  </w:num>
  <w:num w:numId="7" w16cid:durableId="1275288517">
    <w:abstractNumId w:val="3"/>
  </w:num>
  <w:num w:numId="8" w16cid:durableId="1193227561">
    <w:abstractNumId w:val="5"/>
  </w:num>
  <w:num w:numId="9" w16cid:durableId="1679191330">
    <w:abstractNumId w:val="5"/>
  </w:num>
  <w:num w:numId="10" w16cid:durableId="693264215">
    <w:abstractNumId w:val="3"/>
  </w:num>
  <w:num w:numId="11" w16cid:durableId="386802457">
    <w:abstractNumId w:val="3"/>
  </w:num>
  <w:num w:numId="12" w16cid:durableId="683241712">
    <w:abstractNumId w:val="3"/>
  </w:num>
  <w:num w:numId="13" w16cid:durableId="1677921375">
    <w:abstractNumId w:val="3"/>
  </w:num>
  <w:num w:numId="14" w16cid:durableId="1086270249">
    <w:abstractNumId w:val="3"/>
  </w:num>
  <w:num w:numId="15" w16cid:durableId="432164397">
    <w:abstractNumId w:val="3"/>
  </w:num>
  <w:num w:numId="16" w16cid:durableId="1118378269">
    <w:abstractNumId w:val="3"/>
  </w:num>
  <w:num w:numId="17" w16cid:durableId="50541223">
    <w:abstractNumId w:val="3"/>
  </w:num>
  <w:num w:numId="18" w16cid:durableId="180970950">
    <w:abstractNumId w:val="3"/>
  </w:num>
  <w:num w:numId="19" w16cid:durableId="144132491">
    <w:abstractNumId w:val="3"/>
  </w:num>
  <w:num w:numId="20" w16cid:durableId="84695986">
    <w:abstractNumId w:val="3"/>
  </w:num>
  <w:num w:numId="21" w16cid:durableId="1289241475">
    <w:abstractNumId w:val="3"/>
  </w:num>
  <w:num w:numId="22" w16cid:durableId="1704820279">
    <w:abstractNumId w:val="3"/>
  </w:num>
  <w:num w:numId="23" w16cid:durableId="1353919222">
    <w:abstractNumId w:val="3"/>
  </w:num>
  <w:num w:numId="24" w16cid:durableId="1307859083">
    <w:abstractNumId w:val="3"/>
  </w:num>
  <w:num w:numId="25" w16cid:durableId="71685472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27"/>
  <w:autoHyphenation/>
  <w:hyphenationZone w:val="400"/>
  <w:doNotHyphenateCaps/>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FCE"/>
    <w:rsid w:val="00017B50"/>
    <w:rsid w:val="00017C04"/>
    <w:rsid w:val="000372CA"/>
    <w:rsid w:val="0004531F"/>
    <w:rsid w:val="000465F6"/>
    <w:rsid w:val="00063FA4"/>
    <w:rsid w:val="000937E8"/>
    <w:rsid w:val="000943D9"/>
    <w:rsid w:val="000F4929"/>
    <w:rsid w:val="00105096"/>
    <w:rsid w:val="001273E5"/>
    <w:rsid w:val="00140238"/>
    <w:rsid w:val="001830DE"/>
    <w:rsid w:val="001843F4"/>
    <w:rsid w:val="001933A3"/>
    <w:rsid w:val="001A02F0"/>
    <w:rsid w:val="001A5387"/>
    <w:rsid w:val="001B67D6"/>
    <w:rsid w:val="001E3C0E"/>
    <w:rsid w:val="00247F25"/>
    <w:rsid w:val="00267B15"/>
    <w:rsid w:val="00282E41"/>
    <w:rsid w:val="002D48C5"/>
    <w:rsid w:val="00380186"/>
    <w:rsid w:val="003A5D29"/>
    <w:rsid w:val="003B53D8"/>
    <w:rsid w:val="003D4EB9"/>
    <w:rsid w:val="00401620"/>
    <w:rsid w:val="0041410D"/>
    <w:rsid w:val="0046017A"/>
    <w:rsid w:val="00485F0A"/>
    <w:rsid w:val="0049695C"/>
    <w:rsid w:val="004A25CB"/>
    <w:rsid w:val="004E4567"/>
    <w:rsid w:val="00502D9B"/>
    <w:rsid w:val="00503DBC"/>
    <w:rsid w:val="00561E39"/>
    <w:rsid w:val="00562D5C"/>
    <w:rsid w:val="00570C55"/>
    <w:rsid w:val="00586508"/>
    <w:rsid w:val="005D099C"/>
    <w:rsid w:val="005E13F0"/>
    <w:rsid w:val="006526F7"/>
    <w:rsid w:val="00693EF2"/>
    <w:rsid w:val="006C7E3B"/>
    <w:rsid w:val="006E19C0"/>
    <w:rsid w:val="006E590A"/>
    <w:rsid w:val="006F6B66"/>
    <w:rsid w:val="00704836"/>
    <w:rsid w:val="00737F9C"/>
    <w:rsid w:val="00753343"/>
    <w:rsid w:val="00766A26"/>
    <w:rsid w:val="00771379"/>
    <w:rsid w:val="0077425D"/>
    <w:rsid w:val="00782234"/>
    <w:rsid w:val="007E7622"/>
    <w:rsid w:val="00847E9F"/>
    <w:rsid w:val="00880B2B"/>
    <w:rsid w:val="00883665"/>
    <w:rsid w:val="00897217"/>
    <w:rsid w:val="008B7233"/>
    <w:rsid w:val="008E0473"/>
    <w:rsid w:val="008E1E3B"/>
    <w:rsid w:val="008E6259"/>
    <w:rsid w:val="008F2D4C"/>
    <w:rsid w:val="009716B9"/>
    <w:rsid w:val="00977060"/>
    <w:rsid w:val="00981789"/>
    <w:rsid w:val="0099186D"/>
    <w:rsid w:val="009930E4"/>
    <w:rsid w:val="009B2539"/>
    <w:rsid w:val="009C5C11"/>
    <w:rsid w:val="009F7FCE"/>
    <w:rsid w:val="00A1556C"/>
    <w:rsid w:val="00A52B10"/>
    <w:rsid w:val="00A900D4"/>
    <w:rsid w:val="00A9219E"/>
    <w:rsid w:val="00AD760E"/>
    <w:rsid w:val="00AE7239"/>
    <w:rsid w:val="00B06089"/>
    <w:rsid w:val="00B23481"/>
    <w:rsid w:val="00B270AD"/>
    <w:rsid w:val="00B27BF5"/>
    <w:rsid w:val="00BA03B4"/>
    <w:rsid w:val="00BB38AD"/>
    <w:rsid w:val="00BD1868"/>
    <w:rsid w:val="00C054CD"/>
    <w:rsid w:val="00C05CB2"/>
    <w:rsid w:val="00C635B4"/>
    <w:rsid w:val="00D05082"/>
    <w:rsid w:val="00D30529"/>
    <w:rsid w:val="00D5293F"/>
    <w:rsid w:val="00D53FEB"/>
    <w:rsid w:val="00D6311D"/>
    <w:rsid w:val="00D7354D"/>
    <w:rsid w:val="00DC2CA9"/>
    <w:rsid w:val="00DD5B70"/>
    <w:rsid w:val="00E603C7"/>
    <w:rsid w:val="00E749BD"/>
    <w:rsid w:val="00E774E8"/>
    <w:rsid w:val="00E949C2"/>
    <w:rsid w:val="00ED0065"/>
    <w:rsid w:val="00ED56D4"/>
    <w:rsid w:val="00ED5B10"/>
    <w:rsid w:val="00EF0E2F"/>
    <w:rsid w:val="00F22C4F"/>
    <w:rsid w:val="00F321B4"/>
    <w:rsid w:val="00F57114"/>
    <w:rsid w:val="00F92FA1"/>
    <w:rsid w:val="00FB044E"/>
    <w:rsid w:val="00FB0FF2"/>
    <w:rsid w:val="00FB25B8"/>
    <w:rsid w:val="00FC4282"/>
    <w:rsid w:val="00FF5EAD"/>
    <w:rsid w:val="00FF73B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80E8DD"/>
  <w15:docId w15:val="{24D09821-E0FC-447A-B4EF-CAF697F1D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pacing w:line="240" w:lineRule="atLeast"/>
      </w:pPr>
    </w:pPrDefault>
  </w:docDefaults>
  <w:latentStyles w:defLockedState="0" w:defUIPriority="0" w:defSemiHidden="0" w:defUnhideWhenUsed="0" w:defQFormat="0" w:count="376">
    <w:lsdException w:name="Normal" w:qFormat="1"/>
    <w:lsdException w:name="heading 1" w:semiHidden="1"/>
    <w:lsdException w:name="heading 2" w:semiHidden="1"/>
    <w:lsdException w:name="heading 3" w:semiHidden="1"/>
    <w:lsdException w:name="heading 4" w:semiHidden="1"/>
    <w:lsdException w:name="heading 5" w:semiHidden="1"/>
    <w:lsdException w:name="heading 6" w:semiHidden="1"/>
    <w:lsdException w:name="heading 7" w:semiHidden="1"/>
    <w:lsdException w:name="heading 8" w:semiHidden="1"/>
    <w:lsdException w:name="heading 9" w:semiHidden="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lsdException w:name="Closing" w:semiHidden="1"/>
    <w:lsdException w:name="Signature" w:semiHidden="1"/>
    <w:lsdException w:name="Default Paragraph Font"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lsdException w:name="Emphasis" w:semiHidden="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lsdException w:name="Quote" w:semiHidden="1"/>
    <w:lsdException w:name="Intense Quote"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lsdException w:name="Intense Emphasis" w:semiHidden="1"/>
    <w:lsdException w:name="Subtle Reference" w:semiHidden="1"/>
    <w:lsdException w:name="Intense Reference" w:semiHidden="1"/>
    <w:lsdException w:name="Book Title" w:semiHidden="1"/>
    <w:lsdException w:name="Bibliography" w:semiHidden="1"/>
    <w:lsdException w:name="TOC Heading" w:semiHidden="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7667"/>
    <w:pPr>
      <w:overflowPunct w:val="0"/>
      <w:autoSpaceDE w:val="0"/>
      <w:autoSpaceDN w:val="0"/>
      <w:adjustRightInd w:val="0"/>
      <w:ind w:firstLine="227"/>
      <w:jc w:val="both"/>
      <w:textAlignment w:val="baseline"/>
    </w:pPr>
  </w:style>
  <w:style w:type="paragraph" w:styleId="Heading10">
    <w:name w:val="heading 1"/>
    <w:basedOn w:val="Normal"/>
    <w:next w:val="p1a"/>
    <w:semiHidden/>
    <w:unhideWhenUsed/>
    <w:qFormat/>
    <w:pPr>
      <w:keepNext/>
      <w:keepLines/>
      <w:suppressAutoHyphens/>
      <w:spacing w:before="360" w:after="240" w:line="300" w:lineRule="atLeast"/>
      <w:ind w:left="567" w:hanging="567"/>
      <w:jc w:val="left"/>
      <w:outlineLvl w:val="0"/>
    </w:pPr>
    <w:rPr>
      <w:b/>
      <w:sz w:val="24"/>
    </w:rPr>
  </w:style>
  <w:style w:type="paragraph" w:styleId="Heading20">
    <w:name w:val="heading 2"/>
    <w:basedOn w:val="Normal"/>
    <w:next w:val="p1a"/>
    <w:semiHidden/>
    <w:unhideWhenUsed/>
    <w:qFormat/>
    <w:pPr>
      <w:keepNext/>
      <w:keepLines/>
      <w:suppressAutoHyphens/>
      <w:spacing w:before="360" w:after="160"/>
      <w:ind w:left="567" w:hanging="567"/>
      <w:jc w:val="left"/>
      <w:outlineLvl w:val="1"/>
    </w:pPr>
    <w:rPr>
      <w:b/>
    </w:rPr>
  </w:style>
  <w:style w:type="paragraph" w:styleId="Heading3">
    <w:name w:val="heading 3"/>
    <w:basedOn w:val="Normal"/>
    <w:next w:val="Normal"/>
    <w:qFormat/>
    <w:pPr>
      <w:spacing w:before="360"/>
      <w:ind w:firstLine="0"/>
      <w:outlineLvl w:val="2"/>
    </w:pPr>
  </w:style>
  <w:style w:type="paragraph" w:styleId="Heading4">
    <w:name w:val="heading 4"/>
    <w:basedOn w:val="Normal"/>
    <w:next w:val="Normal"/>
    <w:qFormat/>
    <w:pPr>
      <w:spacing w:before="240"/>
      <w:ind w:firstLine="0"/>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pPr>
      <w:spacing w:before="600" w:after="360" w:line="220" w:lineRule="atLeast"/>
      <w:ind w:left="567" w:right="567"/>
      <w:contextualSpacing/>
    </w:pPr>
    <w:rPr>
      <w:sz w:val="18"/>
    </w:rPr>
  </w:style>
  <w:style w:type="paragraph" w:customStyle="1" w:styleId="address">
    <w:name w:val="address"/>
    <w:basedOn w:val="Normal"/>
    <w:pPr>
      <w:spacing w:after="200" w:line="220" w:lineRule="atLeast"/>
      <w:ind w:firstLine="0"/>
      <w:contextualSpacing/>
      <w:jc w:val="center"/>
    </w:pPr>
    <w:rPr>
      <w:sz w:val="18"/>
    </w:rPr>
  </w:style>
  <w:style w:type="numbering" w:customStyle="1" w:styleId="arabnumitem">
    <w:name w:val="arabnumitem"/>
    <w:basedOn w:val="NoList"/>
    <w:pPr>
      <w:numPr>
        <w:numId w:val="5"/>
      </w:numPr>
    </w:pPr>
  </w:style>
  <w:style w:type="paragraph" w:customStyle="1" w:styleId="author">
    <w:name w:val="author"/>
    <w:basedOn w:val="Normal"/>
    <w:next w:val="address"/>
    <w:pPr>
      <w:spacing w:after="200" w:line="220" w:lineRule="atLeast"/>
      <w:ind w:firstLine="0"/>
      <w:jc w:val="center"/>
    </w:pPr>
  </w:style>
  <w:style w:type="paragraph" w:customStyle="1" w:styleId="bulletitem">
    <w:name w:val="bulletitem"/>
    <w:basedOn w:val="Normal"/>
    <w:pPr>
      <w:numPr>
        <w:numId w:val="2"/>
      </w:numPr>
      <w:spacing w:before="160" w:after="160"/>
      <w:contextualSpacing/>
    </w:pPr>
  </w:style>
  <w:style w:type="paragraph" w:customStyle="1" w:styleId="dashitem">
    <w:name w:val="dashitem"/>
    <w:basedOn w:val="Normal"/>
    <w:pPr>
      <w:numPr>
        <w:numId w:val="4"/>
      </w:numPr>
      <w:spacing w:before="160" w:after="160"/>
      <w:contextualSpacing/>
    </w:pPr>
  </w:style>
  <w:style w:type="character" w:customStyle="1" w:styleId="e-mail">
    <w:name w:val="e-mail"/>
    <w:basedOn w:val="DefaultParagraphFont"/>
    <w:rPr>
      <w:rFonts w:ascii="Courier" w:hAnsi="Courier"/>
      <w:noProof/>
    </w:rPr>
  </w:style>
  <w:style w:type="paragraph" w:customStyle="1" w:styleId="equation">
    <w:name w:val="equation"/>
    <w:basedOn w:val="Normal"/>
    <w:next w:val="Normal"/>
    <w:pPr>
      <w:tabs>
        <w:tab w:val="center" w:pos="3289"/>
        <w:tab w:val="right" w:pos="6917"/>
      </w:tabs>
      <w:spacing w:before="160" w:after="160"/>
      <w:ind w:firstLine="0"/>
    </w:pPr>
  </w:style>
  <w:style w:type="paragraph" w:customStyle="1" w:styleId="figurecaption">
    <w:name w:val="figurecaption"/>
    <w:basedOn w:val="Normal"/>
    <w:next w:val="Normal"/>
    <w:pPr>
      <w:keepLines/>
      <w:spacing w:before="120" w:after="240" w:line="220" w:lineRule="atLeast"/>
      <w:ind w:firstLine="0"/>
      <w:jc w:val="center"/>
    </w:pPr>
    <w:rPr>
      <w:sz w:val="18"/>
    </w:rPr>
  </w:style>
  <w:style w:type="character" w:styleId="FootnoteReference">
    <w:name w:val="footnote reference"/>
    <w:basedOn w:val="DefaultParagraphFont"/>
    <w:semiHidden/>
    <w:unhideWhenUsed/>
    <w:rPr>
      <w:position w:val="0"/>
      <w:vertAlign w:val="superscript"/>
    </w:rPr>
  </w:style>
  <w:style w:type="paragraph" w:styleId="Footer">
    <w:name w:val="footer"/>
    <w:basedOn w:val="Normal"/>
    <w:unhideWhenUsed/>
  </w:style>
  <w:style w:type="paragraph" w:customStyle="1" w:styleId="heading1">
    <w:name w:val="heading1"/>
    <w:basedOn w:val="Normal"/>
    <w:next w:val="p1a"/>
    <w:qFormat/>
    <w:pPr>
      <w:keepNext/>
      <w:keepLines/>
      <w:numPr>
        <w:numId w:val="7"/>
      </w:numPr>
      <w:suppressAutoHyphens/>
      <w:spacing w:before="360" w:after="240" w:line="300" w:lineRule="atLeast"/>
      <w:jc w:val="left"/>
      <w:outlineLvl w:val="0"/>
    </w:pPr>
    <w:rPr>
      <w:b/>
      <w:sz w:val="24"/>
    </w:rPr>
  </w:style>
  <w:style w:type="paragraph" w:customStyle="1" w:styleId="heading2">
    <w:name w:val="heading2"/>
    <w:basedOn w:val="Normal"/>
    <w:next w:val="p1a"/>
    <w:qFormat/>
    <w:pPr>
      <w:keepNext/>
      <w:keepLines/>
      <w:numPr>
        <w:ilvl w:val="1"/>
        <w:numId w:val="7"/>
      </w:numPr>
      <w:suppressAutoHyphens/>
      <w:spacing w:before="360" w:after="160"/>
      <w:jc w:val="left"/>
      <w:outlineLvl w:val="1"/>
    </w:pPr>
    <w:rPr>
      <w:b/>
    </w:rPr>
  </w:style>
  <w:style w:type="character" w:customStyle="1" w:styleId="heading30">
    <w:name w:val="heading3"/>
    <w:basedOn w:val="DefaultParagraphFont"/>
    <w:rPr>
      <w:b/>
    </w:rPr>
  </w:style>
  <w:style w:type="character" w:customStyle="1" w:styleId="heading40">
    <w:name w:val="heading4"/>
    <w:basedOn w:val="DefaultParagraphFont"/>
    <w:rPr>
      <w:i/>
    </w:rPr>
  </w:style>
  <w:style w:type="numbering" w:customStyle="1" w:styleId="headings">
    <w:name w:val="headings"/>
    <w:basedOn w:val="arabnumitem"/>
    <w:pPr>
      <w:numPr>
        <w:numId w:val="7"/>
      </w:numPr>
    </w:pPr>
  </w:style>
  <w:style w:type="character" w:styleId="Hyperlink">
    <w:name w:val="Hyperlink"/>
    <w:basedOn w:val="DefaultParagraphFont"/>
    <w:unhideWhenUsed/>
    <w:rPr>
      <w:color w:val="auto"/>
      <w:u w:val="none"/>
    </w:rPr>
  </w:style>
  <w:style w:type="paragraph" w:customStyle="1" w:styleId="image">
    <w:name w:val="image"/>
    <w:basedOn w:val="Normal"/>
    <w:next w:val="Normal"/>
    <w:pPr>
      <w:spacing w:before="240" w:after="120"/>
      <w:ind w:firstLine="0"/>
      <w:jc w:val="center"/>
    </w:pPr>
  </w:style>
  <w:style w:type="numbering" w:customStyle="1" w:styleId="itemization1">
    <w:name w:val="itemization1"/>
    <w:basedOn w:val="NoList"/>
    <w:pPr>
      <w:numPr>
        <w:numId w:val="1"/>
      </w:numPr>
    </w:pPr>
  </w:style>
  <w:style w:type="numbering" w:customStyle="1" w:styleId="itemization2">
    <w:name w:val="itemization2"/>
    <w:basedOn w:val="NoList"/>
    <w:pPr>
      <w:numPr>
        <w:numId w:val="3"/>
      </w:numPr>
    </w:pPr>
  </w:style>
  <w:style w:type="paragraph" w:customStyle="1" w:styleId="keywords">
    <w:name w:val="keywords"/>
    <w:basedOn w:val="abstract"/>
    <w:next w:val="heading1"/>
    <w:pPr>
      <w:spacing w:before="220"/>
      <w:ind w:firstLine="0"/>
      <w:contextualSpacing w:val="0"/>
      <w:jc w:val="left"/>
    </w:pPr>
  </w:style>
  <w:style w:type="paragraph" w:styleId="Header">
    <w:name w:val="header"/>
    <w:basedOn w:val="Normal"/>
    <w:unhideWhenUsed/>
    <w:pPr>
      <w:tabs>
        <w:tab w:val="center" w:pos="4536"/>
        <w:tab w:val="right" w:pos="9072"/>
      </w:tabs>
      <w:ind w:firstLine="0"/>
    </w:pPr>
    <w:rPr>
      <w:sz w:val="18"/>
      <w:szCs w:val="18"/>
    </w:rPr>
  </w:style>
  <w:style w:type="paragraph" w:customStyle="1" w:styleId="numitem">
    <w:name w:val="numitem"/>
    <w:basedOn w:val="Normal"/>
    <w:pPr>
      <w:numPr>
        <w:numId w:val="6"/>
      </w:numPr>
      <w:spacing w:before="160" w:after="160"/>
      <w:contextualSpacing/>
    </w:pPr>
  </w:style>
  <w:style w:type="paragraph" w:customStyle="1" w:styleId="p1a">
    <w:name w:val="p1a"/>
    <w:basedOn w:val="Normal"/>
    <w:next w:val="Normal"/>
    <w:pPr>
      <w:ind w:firstLine="0"/>
    </w:pPr>
  </w:style>
  <w:style w:type="paragraph" w:customStyle="1" w:styleId="programcode">
    <w:name w:val="programcode"/>
    <w:basedOn w:val="Normal"/>
    <w:pPr>
      <w:tabs>
        <w:tab w:val="left" w:pos="227"/>
        <w:tab w:val="left" w:pos="454"/>
        <w:tab w:val="left" w:pos="680"/>
        <w:tab w:val="left" w:pos="907"/>
        <w:tab w:val="left" w:pos="1134"/>
        <w:tab w:val="left" w:pos="1361"/>
        <w:tab w:val="left" w:pos="1588"/>
        <w:tab w:val="left" w:pos="1814"/>
        <w:tab w:val="left" w:pos="2041"/>
        <w:tab w:val="left" w:pos="2268"/>
        <w:tab w:val="left" w:pos="2495"/>
        <w:tab w:val="left" w:pos="2722"/>
        <w:tab w:val="left" w:pos="2948"/>
        <w:tab w:val="left" w:pos="3175"/>
        <w:tab w:val="left" w:pos="3402"/>
        <w:tab w:val="left" w:pos="3629"/>
        <w:tab w:val="left" w:pos="3856"/>
        <w:tab w:val="left" w:pos="4082"/>
        <w:tab w:val="left" w:pos="4309"/>
        <w:tab w:val="left" w:pos="4536"/>
        <w:tab w:val="left" w:pos="4763"/>
        <w:tab w:val="left" w:pos="4990"/>
        <w:tab w:val="left" w:pos="5216"/>
        <w:tab w:val="left" w:pos="5443"/>
        <w:tab w:val="left" w:pos="5670"/>
        <w:tab w:val="left" w:pos="5897"/>
        <w:tab w:val="left" w:pos="6124"/>
        <w:tab w:val="left" w:pos="6350"/>
        <w:tab w:val="left" w:pos="6577"/>
      </w:tabs>
      <w:spacing w:before="160" w:after="160"/>
      <w:ind w:firstLine="0"/>
      <w:contextualSpacing/>
      <w:jc w:val="left"/>
    </w:pPr>
    <w:rPr>
      <w:rFonts w:ascii="Courier" w:hAnsi="Courier"/>
    </w:rPr>
  </w:style>
  <w:style w:type="paragraph" w:customStyle="1" w:styleId="referenceitem">
    <w:name w:val="referenceitem"/>
    <w:basedOn w:val="Normal"/>
    <w:pPr>
      <w:numPr>
        <w:numId w:val="9"/>
      </w:numPr>
      <w:spacing w:line="220" w:lineRule="atLeast"/>
    </w:pPr>
    <w:rPr>
      <w:sz w:val="18"/>
    </w:rPr>
  </w:style>
  <w:style w:type="numbering" w:customStyle="1" w:styleId="referencelist">
    <w:name w:val="referencelist"/>
    <w:basedOn w:val="NoList"/>
    <w:semiHidden/>
    <w:pPr>
      <w:numPr>
        <w:numId w:val="8"/>
      </w:numPr>
    </w:pPr>
  </w:style>
  <w:style w:type="paragraph" w:customStyle="1" w:styleId="runninghead-left">
    <w:name w:val="running head - left"/>
    <w:basedOn w:val="Normal"/>
    <w:pPr>
      <w:ind w:firstLine="0"/>
      <w:jc w:val="left"/>
    </w:pPr>
    <w:rPr>
      <w:sz w:val="18"/>
      <w:szCs w:val="18"/>
    </w:rPr>
  </w:style>
  <w:style w:type="paragraph" w:customStyle="1" w:styleId="runninghead-right">
    <w:name w:val="running head - right"/>
    <w:basedOn w:val="Normal"/>
    <w:pPr>
      <w:ind w:firstLine="0"/>
      <w:jc w:val="right"/>
    </w:pPr>
    <w:rPr>
      <w:bCs/>
      <w:sz w:val="18"/>
      <w:szCs w:val="18"/>
    </w:rPr>
  </w:style>
  <w:style w:type="character" w:styleId="PageNumber">
    <w:name w:val="page number"/>
    <w:basedOn w:val="DefaultParagraphFont"/>
    <w:semiHidden/>
    <w:unhideWhenUsed/>
    <w:rPr>
      <w:sz w:val="18"/>
    </w:rPr>
  </w:style>
  <w:style w:type="paragraph" w:customStyle="1" w:styleId="papertitle">
    <w:name w:val="papertitle"/>
    <w:basedOn w:val="Normal"/>
    <w:next w:val="author"/>
    <w:pPr>
      <w:keepNext/>
      <w:keepLines/>
      <w:suppressAutoHyphens/>
      <w:spacing w:after="480" w:line="360" w:lineRule="atLeast"/>
      <w:ind w:firstLine="0"/>
      <w:jc w:val="center"/>
    </w:pPr>
    <w:rPr>
      <w:b/>
      <w:sz w:val="28"/>
    </w:rPr>
  </w:style>
  <w:style w:type="paragraph" w:customStyle="1" w:styleId="papersubtitle">
    <w:name w:val="papersubtitle"/>
    <w:basedOn w:val="papertitle"/>
    <w:next w:val="author"/>
    <w:pPr>
      <w:spacing w:before="120" w:line="280" w:lineRule="atLeast"/>
    </w:pPr>
    <w:rPr>
      <w:sz w:val="24"/>
    </w:rPr>
  </w:style>
  <w:style w:type="paragraph" w:customStyle="1" w:styleId="tablecaption">
    <w:name w:val="tablecaption"/>
    <w:basedOn w:val="Normal"/>
    <w:next w:val="Normal"/>
    <w:pPr>
      <w:keepNext/>
      <w:keepLines/>
      <w:spacing w:before="240" w:after="120" w:line="220" w:lineRule="atLeast"/>
      <w:ind w:firstLine="0"/>
      <w:jc w:val="center"/>
    </w:pPr>
    <w:rPr>
      <w:sz w:val="18"/>
    </w:rPr>
  </w:style>
  <w:style w:type="character" w:customStyle="1" w:styleId="url">
    <w:name w:val="url"/>
    <w:basedOn w:val="DefaultParagraphFont"/>
    <w:rPr>
      <w:rFonts w:ascii="Courier" w:hAnsi="Courier"/>
      <w:noProof/>
    </w:rPr>
  </w:style>
  <w:style w:type="character" w:customStyle="1" w:styleId="ORCID">
    <w:name w:val="ORCID"/>
    <w:basedOn w:val="DefaultParagraphFont"/>
    <w:rPr>
      <w:position w:val="0"/>
      <w:vertAlign w:val="superscript"/>
    </w:rPr>
  </w:style>
  <w:style w:type="paragraph" w:styleId="FootnoteText">
    <w:name w:val="footnote text"/>
    <w:basedOn w:val="Normal"/>
    <w:semiHidden/>
    <w:pPr>
      <w:spacing w:line="220" w:lineRule="atLeast"/>
      <w:ind w:left="227" w:hanging="227"/>
    </w:pPr>
    <w:rPr>
      <w:sz w:val="18"/>
    </w:rPr>
  </w:style>
  <w:style w:type="paragraph" w:customStyle="1" w:styleId="ReferenceLine">
    <w:name w:val="ReferenceLine"/>
    <w:basedOn w:val="p1a"/>
    <w:semiHidden/>
    <w:unhideWhenUsed/>
    <w:pPr>
      <w:spacing w:line="200" w:lineRule="exact"/>
    </w:pPr>
    <w:rPr>
      <w:sz w:val="16"/>
    </w:rPr>
  </w:style>
  <w:style w:type="character" w:styleId="UnresolvedMention">
    <w:name w:val="Unresolved Mention"/>
    <w:basedOn w:val="DefaultParagraphFont"/>
    <w:uiPriority w:val="99"/>
    <w:semiHidden/>
    <w:unhideWhenUsed/>
    <w:rsid w:val="008E6259"/>
    <w:rPr>
      <w:color w:val="605E5C"/>
      <w:shd w:val="clear" w:color="auto" w:fill="E1DFDD"/>
    </w:rPr>
  </w:style>
  <w:style w:type="character" w:customStyle="1" w:styleId="WW8Num11z1">
    <w:name w:val="WW8Num11z1"/>
    <w:rsid w:val="00782234"/>
    <w:rPr>
      <w:rFonts w:ascii="Courier New" w:hAnsi="Courier New"/>
    </w:rPr>
  </w:style>
  <w:style w:type="paragraph" w:styleId="ListParagraph">
    <w:name w:val="List Paragraph"/>
    <w:basedOn w:val="Normal"/>
    <w:rsid w:val="00570C55"/>
    <w:pPr>
      <w:ind w:left="720"/>
      <w:contextualSpacing/>
    </w:pPr>
  </w:style>
  <w:style w:type="paragraph" w:styleId="NormalWeb">
    <w:name w:val="Normal (Web)"/>
    <w:basedOn w:val="Normal"/>
    <w:uiPriority w:val="99"/>
    <w:semiHidden/>
    <w:unhideWhenUsed/>
    <w:rsid w:val="004A25CB"/>
    <w:pPr>
      <w:overflowPunct/>
      <w:autoSpaceDE/>
      <w:autoSpaceDN/>
      <w:adjustRightInd/>
      <w:spacing w:before="100" w:beforeAutospacing="1" w:after="100" w:afterAutospacing="1" w:line="240" w:lineRule="auto"/>
      <w:ind w:firstLine="0"/>
      <w:jc w:val="left"/>
      <w:textAlignment w:val="auto"/>
    </w:pPr>
    <w:rPr>
      <w:sz w:val="24"/>
      <w:szCs w:val="24"/>
      <w:lang w:val="en-ID" w:eastAsia="en-I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LN_DOCUMENT.SPLNPROCMACROS.CHECKENSURESTYLES" wne:name="LN_Document.SpLNProcMacros.CheckEnsureStyles" wne:bEncrypt="00" wne:cmg="56"/>
    <wne:mcd wne:macroName="LN_DOCUMENT.SPLNPROCMACROS.RESTOREPAGESETUP" wne:name="LN_Document.SpLNProcMacros.RestorePageSetup"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orcid.org/0000-0002-7570-3267"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google.com/url?sa=i&amp;source=web&amp;rct=j&amp;url=https://pubs.acs.org/doi/10.1021/jp9716997&amp;ved=2ahUKEwiJ86i3p8-WAxVlyzgGHfTGMN4Qy_kOegoIAggACAAIChAC&amp;opi=89978449&amp;cd&amp;psig=AOvVaw24FTL2ZCQCHu7IPt83z8Lg&amp;ust=1788418287835000"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google.com/url?sa=i&amp;source=web&amp;rct=j&amp;url=https://pubs.aip.org/aip/jcp/article/152/22/224108/1061982/The-ORCA-quantum-chemistry-program-package&amp;ved=2ahUKEwioqdiNmtGWAxUe9DgGHX1WNQwQy_kOegoIAggACAAIChAK&amp;opi=89978449&amp;cd&amp;psig=AOvVaw0jMDpIHpXeTgT1GtqsPlff&amp;ust=1788483430348000"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4967</Words>
  <Characters>28315</Characters>
  <Application>Microsoft Office Word</Application>
  <DocSecurity>0</DocSecurity>
  <Lines>235</Lines>
  <Paragraphs>66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dataspect IT-Services, Neckargemuend, Germany</Company>
  <LinksUpToDate>false</LinksUpToDate>
  <CharactersWithSpaces>33216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Markus Richter</dc:creator>
  <cp:keywords/>
  <dc:description/>
  <cp:lastModifiedBy>Faozan Ahmad</cp:lastModifiedBy>
  <cp:revision>3</cp:revision>
  <cp:lastPrinted>2026-09-24T11:07:00Z</cp:lastPrinted>
  <dcterms:created xsi:type="dcterms:W3CDTF">2026-09-24T11:43:00Z</dcterms:created>
  <dcterms:modified xsi:type="dcterms:W3CDTF">2026-09-25T02:12:00Z</dcterms:modified>
</cp:coreProperties>
</file>