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63350" w14:textId="3D8AC9C2" w:rsidR="00175C53" w:rsidRPr="00C21BEF" w:rsidRDefault="00175C53" w:rsidP="00175C53">
      <w:pPr>
        <w:rPr>
          <w:rFonts w:ascii="Times New Roman" w:hAnsi="Times New Roman" w:cs="Times New Roman"/>
        </w:rPr>
      </w:pPr>
      <w:r w:rsidRPr="00C21BEF">
        <w:rPr>
          <w:rFonts w:ascii="Times New Roman" w:hAnsi="Times New Roman" w:cs="Times New Roman"/>
        </w:rPr>
        <w:t>Dear Dr</w:t>
      </w:r>
      <w:r w:rsidR="003E00D4" w:rsidRPr="00C21BEF">
        <w:rPr>
          <w:rFonts w:ascii="Times New Roman" w:hAnsi="Times New Roman" w:cs="Times New Roman"/>
        </w:rPr>
        <w:t>.</w:t>
      </w:r>
      <w:r w:rsidRPr="00C21BEF">
        <w:rPr>
          <w:rFonts w:ascii="Times New Roman" w:hAnsi="Times New Roman" w:cs="Times New Roman"/>
        </w:rPr>
        <w:t xml:space="preserve"> Mohamad Faris </w:t>
      </w:r>
      <w:proofErr w:type="gramStart"/>
      <w:r w:rsidRPr="00C21BEF">
        <w:rPr>
          <w:rFonts w:ascii="Times New Roman" w:hAnsi="Times New Roman" w:cs="Times New Roman"/>
        </w:rPr>
        <w:t>Bin</w:t>
      </w:r>
      <w:proofErr w:type="gramEnd"/>
      <w:r w:rsidRPr="00C21BEF">
        <w:rPr>
          <w:rFonts w:ascii="Times New Roman" w:hAnsi="Times New Roman" w:cs="Times New Roman"/>
        </w:rPr>
        <w:t xml:space="preserve"> Mohamad Fathil,</w:t>
      </w:r>
    </w:p>
    <w:p w14:paraId="6D2B3FA1" w14:textId="77777777" w:rsidR="00175C53" w:rsidRPr="00C21BEF" w:rsidRDefault="00175C53" w:rsidP="00175C53">
      <w:pPr>
        <w:rPr>
          <w:rFonts w:ascii="Times New Roman" w:hAnsi="Times New Roman" w:cs="Times New Roman"/>
        </w:rPr>
      </w:pPr>
    </w:p>
    <w:p w14:paraId="2F34ECD7" w14:textId="7565A8FE" w:rsidR="00175C53" w:rsidRPr="00C21BEF" w:rsidRDefault="00175C53" w:rsidP="00175C53">
      <w:pPr>
        <w:rPr>
          <w:rFonts w:ascii="Times New Roman" w:hAnsi="Times New Roman" w:cs="Times New Roman"/>
        </w:rPr>
      </w:pPr>
      <w:r w:rsidRPr="00C21BEF">
        <w:rPr>
          <w:rFonts w:ascii="Times New Roman" w:hAnsi="Times New Roman" w:cs="Times New Roman"/>
        </w:rPr>
        <w:t xml:space="preserve">We are grateful for the opportunity to resubmit our </w:t>
      </w:r>
      <w:r w:rsidRPr="00C21BEF">
        <w:rPr>
          <w:rFonts w:ascii="Times New Roman" w:hAnsi="Times New Roman" w:cs="Times New Roman"/>
        </w:rPr>
        <w:t xml:space="preserve">revised </w:t>
      </w:r>
      <w:r w:rsidRPr="00C21BEF">
        <w:rPr>
          <w:rFonts w:ascii="Times New Roman" w:hAnsi="Times New Roman" w:cs="Times New Roman"/>
        </w:rPr>
        <w:t>work</w:t>
      </w:r>
      <w:r w:rsidRPr="00C21BEF">
        <w:rPr>
          <w:rFonts w:ascii="Times New Roman" w:hAnsi="Times New Roman" w:cs="Times New Roman"/>
        </w:rPr>
        <w:t>.</w:t>
      </w:r>
      <w:r w:rsidRPr="00C21BEF">
        <w:rPr>
          <w:rFonts w:ascii="Times New Roman" w:hAnsi="Times New Roman" w:cs="Times New Roman"/>
        </w:rPr>
        <w:t xml:space="preserve"> Thank you for the reviewers' in-depth suggestions and comments, which have greatly helped us improve our </w:t>
      </w:r>
      <w:r w:rsidR="00041BC4">
        <w:rPr>
          <w:rFonts w:ascii="Times New Roman" w:hAnsi="Times New Roman" w:cs="Times New Roman"/>
        </w:rPr>
        <w:t>manuscript</w:t>
      </w:r>
      <w:r w:rsidRPr="00C21BEF">
        <w:rPr>
          <w:rFonts w:ascii="Times New Roman" w:hAnsi="Times New Roman" w:cs="Times New Roman"/>
        </w:rPr>
        <w:t>. </w:t>
      </w:r>
    </w:p>
    <w:p w14:paraId="1C6EB692" w14:textId="048D5F0E" w:rsidR="00175C53" w:rsidRPr="00C21BEF" w:rsidRDefault="00175C53" w:rsidP="00175C53">
      <w:pPr>
        <w:rPr>
          <w:rFonts w:ascii="Times New Roman" w:hAnsi="Times New Roman" w:cs="Times New Roman"/>
        </w:rPr>
      </w:pPr>
      <w:r w:rsidRPr="00C21BEF">
        <w:rPr>
          <w:rFonts w:ascii="Times New Roman" w:hAnsi="Times New Roman" w:cs="Times New Roman"/>
        </w:rPr>
        <w:t>Here we send you the revised manuscript. All suggestions and comments have been considered carefully and fully addressed. The changes in the revised manuscript are highlighted in yellow background.</w:t>
      </w:r>
    </w:p>
    <w:p w14:paraId="5E5EB6EF"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t>We hope that the changes are sufficient to make our paper acceptable for publication.</w:t>
      </w:r>
    </w:p>
    <w:p w14:paraId="729CDBFE"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br/>
      </w:r>
      <w:r w:rsidRPr="00C21BEF">
        <w:rPr>
          <w:rFonts w:ascii="Times New Roman" w:hAnsi="Times New Roman" w:cs="Times New Roman"/>
        </w:rPr>
        <w:br/>
        <w:t>Sincerely yours,</w:t>
      </w:r>
    </w:p>
    <w:p w14:paraId="06B09211" w14:textId="05527315" w:rsidR="00175C53" w:rsidRPr="00C21BEF" w:rsidRDefault="00175C53" w:rsidP="00175C53">
      <w:pPr>
        <w:spacing w:after="0"/>
        <w:rPr>
          <w:rFonts w:ascii="Times New Roman" w:hAnsi="Times New Roman" w:cs="Times New Roman"/>
        </w:rPr>
      </w:pPr>
      <w:r w:rsidRPr="00C21BEF">
        <w:rPr>
          <w:rFonts w:ascii="Times New Roman" w:hAnsi="Times New Roman" w:cs="Times New Roman"/>
        </w:rPr>
        <w:t>Faozan Ahmad</w:t>
      </w:r>
    </w:p>
    <w:p w14:paraId="3F08CB3C" w14:textId="16303619" w:rsidR="00175C53" w:rsidRPr="00C21BEF" w:rsidRDefault="00175C53" w:rsidP="00175C53">
      <w:pPr>
        <w:spacing w:after="0"/>
        <w:rPr>
          <w:rFonts w:ascii="Times New Roman" w:hAnsi="Times New Roman" w:cs="Times New Roman"/>
        </w:rPr>
      </w:pPr>
      <w:r w:rsidRPr="00C21BEF">
        <w:rPr>
          <w:rFonts w:ascii="Times New Roman" w:hAnsi="Times New Roman" w:cs="Times New Roman"/>
        </w:rPr>
        <w:t>Physics Department</w:t>
      </w:r>
      <w:r w:rsidRPr="00C21BEF">
        <w:rPr>
          <w:rFonts w:ascii="Times New Roman" w:hAnsi="Times New Roman" w:cs="Times New Roman"/>
        </w:rPr>
        <w:t xml:space="preserve">, </w:t>
      </w:r>
      <w:r w:rsidRPr="00C21BEF">
        <w:rPr>
          <w:rFonts w:ascii="Times New Roman" w:hAnsi="Times New Roman" w:cs="Times New Roman"/>
        </w:rPr>
        <w:t>IPB University, Bogor, West Java, Indonesia</w:t>
      </w:r>
    </w:p>
    <w:p w14:paraId="72BC7F71" w14:textId="77777777" w:rsidR="00175C53" w:rsidRPr="00C21BEF" w:rsidRDefault="00175C53" w:rsidP="00175C53">
      <w:pPr>
        <w:rPr>
          <w:rFonts w:ascii="Times New Roman" w:hAnsi="Times New Roman" w:cs="Times New Roman"/>
        </w:rPr>
      </w:pPr>
    </w:p>
    <w:p w14:paraId="21B2143E" w14:textId="77777777" w:rsidR="00175C53" w:rsidRPr="00C21BEF" w:rsidRDefault="00175C53" w:rsidP="00175C53">
      <w:pPr>
        <w:rPr>
          <w:rFonts w:ascii="Times New Roman" w:hAnsi="Times New Roman" w:cs="Times New Roman"/>
        </w:rPr>
      </w:pPr>
    </w:p>
    <w:p w14:paraId="14785072" w14:textId="77777777" w:rsidR="00175C53" w:rsidRPr="00C21BEF" w:rsidRDefault="00175C53" w:rsidP="00175C53">
      <w:pPr>
        <w:rPr>
          <w:rFonts w:ascii="Times New Roman" w:hAnsi="Times New Roman" w:cs="Times New Roman"/>
        </w:rPr>
      </w:pPr>
    </w:p>
    <w:p w14:paraId="75010277" w14:textId="77777777" w:rsidR="00175C53" w:rsidRPr="00C21BEF" w:rsidRDefault="00175C53" w:rsidP="00175C53">
      <w:pPr>
        <w:rPr>
          <w:rFonts w:ascii="Times New Roman" w:hAnsi="Times New Roman" w:cs="Times New Roman"/>
        </w:rPr>
      </w:pPr>
    </w:p>
    <w:p w14:paraId="20D7C23B" w14:textId="77777777" w:rsidR="00175C53" w:rsidRPr="00C21BEF" w:rsidRDefault="00175C53" w:rsidP="00175C53">
      <w:pPr>
        <w:rPr>
          <w:rFonts w:ascii="Times New Roman" w:hAnsi="Times New Roman" w:cs="Times New Roman"/>
        </w:rPr>
      </w:pPr>
    </w:p>
    <w:p w14:paraId="7A506013" w14:textId="77777777" w:rsidR="00175C53" w:rsidRPr="00C21BEF" w:rsidRDefault="00175C53" w:rsidP="00175C53">
      <w:pPr>
        <w:rPr>
          <w:rFonts w:ascii="Times New Roman" w:hAnsi="Times New Roman" w:cs="Times New Roman"/>
        </w:rPr>
      </w:pPr>
    </w:p>
    <w:p w14:paraId="498E37EF" w14:textId="77777777" w:rsidR="00175C53" w:rsidRPr="00C21BEF" w:rsidRDefault="00175C53" w:rsidP="00175C53">
      <w:pPr>
        <w:rPr>
          <w:rFonts w:ascii="Times New Roman" w:hAnsi="Times New Roman" w:cs="Times New Roman"/>
        </w:rPr>
      </w:pPr>
    </w:p>
    <w:p w14:paraId="7BEFCC76" w14:textId="77777777" w:rsidR="00175C53" w:rsidRPr="00C21BEF" w:rsidRDefault="00175C53" w:rsidP="00175C53">
      <w:pPr>
        <w:rPr>
          <w:rFonts w:ascii="Times New Roman" w:hAnsi="Times New Roman" w:cs="Times New Roman"/>
        </w:rPr>
      </w:pPr>
    </w:p>
    <w:p w14:paraId="11DE2E99" w14:textId="77777777" w:rsidR="00175C53" w:rsidRPr="00C21BEF" w:rsidRDefault="00175C53" w:rsidP="00175C53">
      <w:pPr>
        <w:rPr>
          <w:rFonts w:ascii="Times New Roman" w:hAnsi="Times New Roman" w:cs="Times New Roman"/>
        </w:rPr>
      </w:pPr>
    </w:p>
    <w:p w14:paraId="2234CD4A" w14:textId="77777777" w:rsidR="00175C53" w:rsidRPr="00C21BEF" w:rsidRDefault="00175C53" w:rsidP="00175C53">
      <w:pPr>
        <w:rPr>
          <w:rFonts w:ascii="Times New Roman" w:hAnsi="Times New Roman" w:cs="Times New Roman"/>
        </w:rPr>
      </w:pPr>
    </w:p>
    <w:p w14:paraId="4446D511" w14:textId="77777777" w:rsidR="00175C53" w:rsidRPr="00C21BEF" w:rsidRDefault="00175C53" w:rsidP="00175C53">
      <w:pPr>
        <w:rPr>
          <w:rFonts w:ascii="Times New Roman" w:hAnsi="Times New Roman" w:cs="Times New Roman"/>
        </w:rPr>
      </w:pPr>
    </w:p>
    <w:p w14:paraId="0D4B37BD" w14:textId="77777777" w:rsidR="00175C53" w:rsidRPr="00C21BEF" w:rsidRDefault="00175C53" w:rsidP="00175C53">
      <w:pPr>
        <w:rPr>
          <w:rFonts w:ascii="Times New Roman" w:hAnsi="Times New Roman" w:cs="Times New Roman"/>
        </w:rPr>
      </w:pPr>
    </w:p>
    <w:p w14:paraId="0F10BE34" w14:textId="77777777" w:rsidR="00175C53" w:rsidRPr="00C21BEF" w:rsidRDefault="00175C53" w:rsidP="00175C53">
      <w:pPr>
        <w:rPr>
          <w:rFonts w:ascii="Times New Roman" w:hAnsi="Times New Roman" w:cs="Times New Roman"/>
        </w:rPr>
      </w:pPr>
    </w:p>
    <w:p w14:paraId="6E66DEEC" w14:textId="77777777" w:rsidR="00175C53" w:rsidRPr="00C21BEF" w:rsidRDefault="00175C53" w:rsidP="00175C53">
      <w:pPr>
        <w:rPr>
          <w:rFonts w:ascii="Times New Roman" w:hAnsi="Times New Roman" w:cs="Times New Roman"/>
        </w:rPr>
      </w:pPr>
    </w:p>
    <w:p w14:paraId="69BCBCA4" w14:textId="77777777" w:rsidR="00175C53" w:rsidRPr="00C21BEF" w:rsidRDefault="00175C53" w:rsidP="00175C53">
      <w:pPr>
        <w:rPr>
          <w:rFonts w:ascii="Times New Roman" w:hAnsi="Times New Roman" w:cs="Times New Roman"/>
        </w:rPr>
      </w:pPr>
    </w:p>
    <w:p w14:paraId="2BBB8C09" w14:textId="77777777" w:rsidR="00175C53" w:rsidRDefault="00175C53" w:rsidP="00175C53">
      <w:pPr>
        <w:rPr>
          <w:rFonts w:ascii="Times New Roman" w:hAnsi="Times New Roman" w:cs="Times New Roman"/>
        </w:rPr>
      </w:pPr>
    </w:p>
    <w:p w14:paraId="5F45B622" w14:textId="77777777" w:rsidR="00C21BEF" w:rsidRDefault="00C21BEF" w:rsidP="00175C53">
      <w:pPr>
        <w:rPr>
          <w:rFonts w:ascii="Times New Roman" w:hAnsi="Times New Roman" w:cs="Times New Roman"/>
        </w:rPr>
      </w:pPr>
    </w:p>
    <w:p w14:paraId="2D566EAB" w14:textId="77777777" w:rsidR="00C21BEF" w:rsidRPr="00C21BEF" w:rsidRDefault="00C21BEF" w:rsidP="00175C53">
      <w:pPr>
        <w:rPr>
          <w:rFonts w:ascii="Times New Roman" w:hAnsi="Times New Roman" w:cs="Times New Roman"/>
        </w:rPr>
      </w:pPr>
    </w:p>
    <w:p w14:paraId="71812FA8" w14:textId="5CBDA6FF" w:rsidR="00175C53" w:rsidRPr="00C21BEF" w:rsidRDefault="00175C53" w:rsidP="00175C53">
      <w:pPr>
        <w:rPr>
          <w:rFonts w:ascii="Times New Roman" w:hAnsi="Times New Roman" w:cs="Times New Roman"/>
          <w:b/>
          <w:bCs/>
          <w:u w:val="single"/>
        </w:rPr>
      </w:pPr>
      <w:r w:rsidRPr="00C21BEF">
        <w:rPr>
          <w:rFonts w:ascii="Times New Roman" w:hAnsi="Times New Roman" w:cs="Times New Roman"/>
          <w:b/>
          <w:bCs/>
          <w:u w:val="single"/>
        </w:rPr>
        <w:lastRenderedPageBreak/>
        <w:t>Reviewer #1</w:t>
      </w:r>
    </w:p>
    <w:p w14:paraId="040E3932"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t xml:space="preserve">The manuscript applies dispersion-corrected DFT (B3LYP-D4/def2-SVP) and long-range-corrected TD-DFT (CAM-B3LYP/def2-SVP with CPCM ethanol solvation) calculations to model the optoelectronic parameters of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derivatives for dye-sensitized solar cell (DSSC) applications. The manuscript is generally well-structured and clearly presented; however, critical methodologies, energy alignment evaluations, and physical interpretations require fundamental revision before publication can be considered.</w:t>
      </w:r>
    </w:p>
    <w:p w14:paraId="30B4DBB4" w14:textId="148350F1" w:rsidR="00175C53" w:rsidRPr="00C21BEF" w:rsidRDefault="004B70B0" w:rsidP="004B70B0">
      <w:pPr>
        <w:rPr>
          <w:rFonts w:ascii="Times New Roman" w:hAnsi="Times New Roman" w:cs="Times New Roman"/>
        </w:rPr>
      </w:pPr>
      <w:r w:rsidRPr="00C21BEF">
        <w:rPr>
          <w:rFonts w:ascii="Times New Roman" w:hAnsi="Times New Roman" w:cs="Times New Roman"/>
          <w:b/>
          <w:bCs/>
        </w:rPr>
        <w:t xml:space="preserve">Comment </w:t>
      </w:r>
      <w:r w:rsidR="002906CD" w:rsidRPr="00C21BEF">
        <w:rPr>
          <w:rFonts w:ascii="Times New Roman" w:hAnsi="Times New Roman" w:cs="Times New Roman"/>
          <w:b/>
          <w:bCs/>
        </w:rPr>
        <w:t>#</w:t>
      </w:r>
      <w:r w:rsidRPr="00C21BEF">
        <w:rPr>
          <w:rFonts w:ascii="Times New Roman" w:hAnsi="Times New Roman" w:cs="Times New Roman"/>
          <w:b/>
          <w:bCs/>
        </w:rPr>
        <w:t>1:</w:t>
      </w:r>
      <w:r w:rsidRPr="00C21BEF">
        <w:rPr>
          <w:rFonts w:ascii="Times New Roman" w:hAnsi="Times New Roman" w:cs="Times New Roman"/>
        </w:rPr>
        <w:t xml:space="preserve">  </w:t>
      </w:r>
      <w:r w:rsidR="00175C53" w:rsidRPr="00C21BEF">
        <w:rPr>
          <w:rFonts w:ascii="Times New Roman" w:hAnsi="Times New Roman" w:cs="Times New Roman"/>
        </w:rPr>
        <w:t xml:space="preserve">Omission of </w:t>
      </w:r>
      <w:proofErr w:type="spellStart"/>
      <w:r w:rsidR="00175C53" w:rsidRPr="00C21BEF">
        <w:rPr>
          <w:rFonts w:ascii="Times New Roman" w:hAnsi="Times New Roman" w:cs="Times New Roman"/>
        </w:rPr>
        <w:t>TiO</w:t>
      </w:r>
      <w:proofErr w:type="spellEnd"/>
      <w:r w:rsidR="00175C53" w:rsidRPr="00C21BEF">
        <w:rPr>
          <w:rFonts w:ascii="Times New Roman" w:hAnsi="Times New Roman" w:cs="Times New Roman"/>
        </w:rPr>
        <w:t>₂ Conduction Band Alignment:</w:t>
      </w:r>
      <w:r w:rsidR="00175C53" w:rsidRPr="00C21BEF">
        <w:rPr>
          <w:rFonts w:ascii="Times New Roman" w:hAnsi="Times New Roman" w:cs="Times New Roman"/>
        </w:rPr>
        <w:br/>
        <w:t xml:space="preserve">Evaluating DSSC sensitizers solely </w:t>
      </w:r>
      <w:proofErr w:type="gramStart"/>
      <w:r w:rsidR="00175C53" w:rsidRPr="00C21BEF">
        <w:rPr>
          <w:rFonts w:ascii="Times New Roman" w:hAnsi="Times New Roman" w:cs="Times New Roman"/>
        </w:rPr>
        <w:t>on the basis of</w:t>
      </w:r>
      <w:proofErr w:type="gramEnd"/>
      <w:r w:rsidR="00175C53" w:rsidRPr="00C21BEF">
        <w:rPr>
          <w:rFonts w:ascii="Times New Roman" w:hAnsi="Times New Roman" w:cs="Times New Roman"/>
        </w:rPr>
        <w:t xml:space="preserve"> frontier orbital gap (ΔE_HL) and theoretical light-harvesting efficiency (LHE) is insufficient. To demonstrate feasible electron injection capability, the authors must calculate and report the LUMO energy levels relative to the conduction band edge of </w:t>
      </w:r>
      <w:proofErr w:type="spellStart"/>
      <w:r w:rsidR="00175C53" w:rsidRPr="00C21BEF">
        <w:rPr>
          <w:rFonts w:ascii="Times New Roman" w:hAnsi="Times New Roman" w:cs="Times New Roman"/>
        </w:rPr>
        <w:t>TiO</w:t>
      </w:r>
      <w:proofErr w:type="spellEnd"/>
      <w:r w:rsidR="00175C53" w:rsidRPr="00C21BEF">
        <w:rPr>
          <w:rFonts w:ascii="Times New Roman" w:hAnsi="Times New Roman" w:cs="Times New Roman"/>
        </w:rPr>
        <w:t xml:space="preserve">₂ (~ -4.0 eV vs. vacuum). Without proving that E_LUMO lies sufficiently above the </w:t>
      </w:r>
      <w:proofErr w:type="spellStart"/>
      <w:r w:rsidR="00175C53" w:rsidRPr="00C21BEF">
        <w:rPr>
          <w:rFonts w:ascii="Times New Roman" w:hAnsi="Times New Roman" w:cs="Times New Roman"/>
        </w:rPr>
        <w:t>TiO</w:t>
      </w:r>
      <w:proofErr w:type="spellEnd"/>
      <w:r w:rsidR="00175C53" w:rsidRPr="00C21BEF">
        <w:rPr>
          <w:rFonts w:ascii="Times New Roman" w:hAnsi="Times New Roman" w:cs="Times New Roman"/>
        </w:rPr>
        <w:t>₂ conduction band minimum to drive injection, the working mechanism of the proposed sensitizers cannot be established.</w:t>
      </w:r>
    </w:p>
    <w:p w14:paraId="5297B746" w14:textId="77777777" w:rsidR="00247EDA" w:rsidRPr="00C21BEF" w:rsidRDefault="00247EDA" w:rsidP="00247EDA">
      <w:pPr>
        <w:rPr>
          <w:rFonts w:ascii="Times New Roman" w:hAnsi="Times New Roman" w:cs="Times New Roman"/>
        </w:rPr>
      </w:pPr>
      <w:r w:rsidRPr="00C21BEF">
        <w:rPr>
          <w:rFonts w:ascii="Times New Roman" w:hAnsi="Times New Roman" w:cs="Times New Roman"/>
          <w:b/>
          <w:bCs/>
        </w:rPr>
        <w:t>Comment #2:</w:t>
      </w:r>
      <w:r w:rsidRPr="00C21BEF">
        <w:rPr>
          <w:rFonts w:ascii="Times New Roman" w:hAnsi="Times New Roman" w:cs="Times New Roman"/>
        </w:rPr>
        <w:t xml:space="preserve">  Missing Dye Regeneration Alignment:</w:t>
      </w:r>
      <w:r w:rsidRPr="00C21BEF">
        <w:rPr>
          <w:rFonts w:ascii="Times New Roman" w:hAnsi="Times New Roman" w:cs="Times New Roman"/>
        </w:rPr>
        <w:br/>
        <w:t>The authors must report the ground-state oxidation potential (or E_HOMO) relative to the redox potential of standard electrolytes (e.g., I⁻/I₃⁻ at -4.8 eV or Co²⁺/³⁺ redox complexes) to verify that a sufficient thermodynamic driving force exists for sensitizer regeneration by the electrolyte.</w:t>
      </w:r>
    </w:p>
    <w:p w14:paraId="25CD6E8F" w14:textId="25E27BF6" w:rsidR="004B70B0" w:rsidRPr="00C21BEF" w:rsidRDefault="004B70B0" w:rsidP="004B70B0">
      <w:pPr>
        <w:rPr>
          <w:rFonts w:ascii="Times New Roman" w:hAnsi="Times New Roman" w:cs="Times New Roman"/>
          <w:b/>
          <w:bCs/>
        </w:rPr>
      </w:pPr>
      <w:r w:rsidRPr="00C21BEF">
        <w:rPr>
          <w:rFonts w:ascii="Times New Roman" w:hAnsi="Times New Roman" w:cs="Times New Roman"/>
          <w:b/>
          <w:bCs/>
        </w:rPr>
        <w:t xml:space="preserve">Response to Comment </w:t>
      </w:r>
      <w:r w:rsidR="002906CD" w:rsidRPr="00C21BEF">
        <w:rPr>
          <w:rFonts w:ascii="Times New Roman" w:hAnsi="Times New Roman" w:cs="Times New Roman"/>
          <w:b/>
          <w:bCs/>
        </w:rPr>
        <w:t>#</w:t>
      </w:r>
      <w:r w:rsidRPr="00C21BEF">
        <w:rPr>
          <w:rFonts w:ascii="Times New Roman" w:hAnsi="Times New Roman" w:cs="Times New Roman"/>
          <w:b/>
          <w:bCs/>
        </w:rPr>
        <w:t>1</w:t>
      </w:r>
      <w:r w:rsidR="00247EDA" w:rsidRPr="00C21BEF">
        <w:rPr>
          <w:rFonts w:ascii="Times New Roman" w:hAnsi="Times New Roman" w:cs="Times New Roman"/>
          <w:b/>
          <w:bCs/>
        </w:rPr>
        <w:t xml:space="preserve"> &amp; #2</w:t>
      </w:r>
      <w:r w:rsidR="002906CD" w:rsidRPr="00C21BEF">
        <w:rPr>
          <w:rFonts w:ascii="Times New Roman" w:hAnsi="Times New Roman" w:cs="Times New Roman"/>
          <w:b/>
          <w:bCs/>
        </w:rPr>
        <w:t>:</w:t>
      </w:r>
    </w:p>
    <w:p w14:paraId="03D8A3B3" w14:textId="77777777" w:rsidR="009C4DA8" w:rsidRPr="00C21BEF" w:rsidRDefault="009C4DA8" w:rsidP="009C4DA8">
      <w:pPr>
        <w:jc w:val="both"/>
        <w:rPr>
          <w:rFonts w:ascii="Times New Roman" w:hAnsi="Times New Roman" w:cs="Times New Roman"/>
        </w:rPr>
      </w:pPr>
      <w:r w:rsidRPr="00C21BEF">
        <w:rPr>
          <w:rFonts w:ascii="Times New Roman" w:hAnsi="Times New Roman" w:cs="Times New Roman"/>
        </w:rPr>
        <w:t>We thank the reviewer for this suggestion. The calculated HOMO energies (−5.408 to −5.688 eV) lie below the I−/I3− redox level (−4.8 eV), with offsets of 0.608–0.888 eV, indicating feasible dye regeneration. This energy-level alignment has been added as figure 4 and discussed in the revised manuscript as follows:</w:t>
      </w:r>
    </w:p>
    <w:p w14:paraId="0D131792" w14:textId="4C9ED184" w:rsidR="00247EDA" w:rsidRPr="00C21BEF" w:rsidRDefault="00247EDA" w:rsidP="009C4DA8">
      <w:pPr>
        <w:jc w:val="center"/>
        <w:rPr>
          <w:rFonts w:ascii="Times New Roman" w:hAnsi="Times New Roman" w:cs="Times New Roman"/>
        </w:rPr>
      </w:pPr>
      <w:r w:rsidRPr="00C21BEF">
        <w:rPr>
          <w:rFonts w:ascii="Times New Roman" w:hAnsi="Times New Roman" w:cs="Times New Roman"/>
        </w:rPr>
        <w:drawing>
          <wp:inline distT="0" distB="0" distL="0" distR="0" wp14:anchorId="02AAA467" wp14:editId="716A8B53">
            <wp:extent cx="4088571" cy="2339788"/>
            <wp:effectExtent l="0" t="0" r="7620" b="3810"/>
            <wp:docPr id="12340565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56537" name=""/>
                    <pic:cNvPicPr/>
                  </pic:nvPicPr>
                  <pic:blipFill>
                    <a:blip r:embed="rId5"/>
                    <a:stretch>
                      <a:fillRect/>
                    </a:stretch>
                  </pic:blipFill>
                  <pic:spPr>
                    <a:xfrm>
                      <a:off x="0" y="0"/>
                      <a:ext cx="4096866" cy="2344535"/>
                    </a:xfrm>
                    <a:prstGeom prst="rect">
                      <a:avLst/>
                    </a:prstGeom>
                  </pic:spPr>
                </pic:pic>
              </a:graphicData>
            </a:graphic>
          </wp:inline>
        </w:drawing>
      </w:r>
    </w:p>
    <w:p w14:paraId="20694C8E" w14:textId="77777777" w:rsidR="00247EDA" w:rsidRPr="00C21BEF" w:rsidRDefault="00247EDA" w:rsidP="00247EDA">
      <w:pPr>
        <w:rPr>
          <w:rFonts w:ascii="Times New Roman" w:hAnsi="Times New Roman" w:cs="Times New Roman"/>
        </w:rPr>
      </w:pPr>
      <w:r w:rsidRPr="00C21BEF">
        <w:rPr>
          <w:rFonts w:ascii="Times New Roman" w:hAnsi="Times New Roman" w:cs="Times New Roman"/>
        </w:rPr>
        <w:t xml:space="preserve">Fig 4. Frontier molecular orbital energy-level diagram of pristine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(G) and the designed </w:t>
      </w:r>
      <w:proofErr w:type="spellStart"/>
      <w:r w:rsidRPr="00C21BEF">
        <w:rPr>
          <w:rFonts w:ascii="Times New Roman" w:hAnsi="Times New Roman" w:cs="Times New Roman"/>
        </w:rPr>
        <w:t>galangin</w:t>
      </w:r>
      <w:proofErr w:type="spellEnd"/>
      <w:r w:rsidRPr="00C21BEF">
        <w:rPr>
          <w:rFonts w:ascii="Times New Roman" w:hAnsi="Times New Roman" w:cs="Times New Roman"/>
        </w:rPr>
        <w:t>-based sensitizers GFB, GFS, GTB, and GTS. The HOMO and LUMO levels are highlighted in red and blue, respectively, while the corresponding HOMO–LUMO energy gaps are indicated by the dashed lines.</w:t>
      </w:r>
    </w:p>
    <w:p w14:paraId="3F6E5730" w14:textId="77777777" w:rsidR="00247EDA" w:rsidRPr="00C21BEF" w:rsidRDefault="00247EDA" w:rsidP="00247EDA">
      <w:pPr>
        <w:jc w:val="both"/>
        <w:rPr>
          <w:rFonts w:ascii="Times New Roman" w:hAnsi="Times New Roman" w:cs="Times New Roman"/>
        </w:rPr>
      </w:pPr>
      <w:r w:rsidRPr="00C21BEF">
        <w:rPr>
          <w:rFonts w:ascii="Times New Roman" w:hAnsi="Times New Roman" w:cs="Times New Roman"/>
          <w:highlight w:val="yellow"/>
          <w:lang w:val="en-US"/>
        </w:rPr>
        <w:lastRenderedPageBreak/>
        <w:t>Energy-level alignment with TiO2 and the I</w:t>
      </w:r>
      <w:r w:rsidRPr="00C21BEF">
        <w:rPr>
          <w:rFonts w:ascii="Times New Roman" w:hAnsi="Times New Roman" w:cs="Times New Roman"/>
          <w:highlight w:val="yellow"/>
          <w:vertAlign w:val="superscript"/>
          <w:lang w:val="en-US"/>
        </w:rPr>
        <w:t>−</w:t>
      </w:r>
      <w:r w:rsidRPr="00C21BEF">
        <w:rPr>
          <w:rFonts w:ascii="Times New Roman" w:hAnsi="Times New Roman" w:cs="Times New Roman"/>
          <w:highlight w:val="yellow"/>
          <w:lang w:val="en-US"/>
        </w:rPr>
        <w:t>/I</w:t>
      </w:r>
      <w:r w:rsidRPr="00C21BEF">
        <w:rPr>
          <w:rFonts w:ascii="Times New Roman" w:hAnsi="Times New Roman" w:cs="Times New Roman"/>
          <w:highlight w:val="yellow"/>
          <w:vertAlign w:val="subscript"/>
          <w:lang w:val="en-US"/>
        </w:rPr>
        <w:t>3</w:t>
      </w:r>
      <w:r w:rsidRPr="00C21BEF">
        <w:rPr>
          <w:rFonts w:ascii="Times New Roman" w:hAnsi="Times New Roman" w:cs="Times New Roman"/>
          <w:highlight w:val="yellow"/>
          <w:vertAlign w:val="superscript"/>
          <w:lang w:val="en-US"/>
        </w:rPr>
        <w:t>−</w:t>
      </w:r>
      <w:r w:rsidRPr="00C21BEF">
        <w:rPr>
          <w:rFonts w:ascii="Times New Roman" w:hAnsi="Times New Roman" w:cs="Times New Roman"/>
          <w:highlight w:val="yellow"/>
          <w:lang w:val="en-US"/>
        </w:rPr>
        <w:t xml:space="preserve"> redox electrolyte was further examined to evaluate the feasibility of the designed sensitizers for DSSC application. The LUMO energies of G, GFB, GFS, GTB, and GTS range from −1.812 to −2.364 eV, all located above the TiO2 conduction-band edge (−4.0 eV), with LUMO–CB offsets of 1.636</w:t>
      </w:r>
      <w:r w:rsidRPr="00C21BEF">
        <w:rPr>
          <w:rFonts w:ascii="Times New Roman" w:hAnsi="Times New Roman" w:cs="Times New Roman"/>
          <w:highlight w:val="yellow"/>
        </w:rPr>
        <w:t xml:space="preserve"> </w:t>
      </w:r>
      <w:r w:rsidRPr="00C21BEF">
        <w:rPr>
          <w:rFonts w:ascii="Times New Roman" w:hAnsi="Times New Roman" w:cs="Times New Roman"/>
          <w:highlight w:val="yellow"/>
          <w:lang w:val="en-US"/>
        </w:rPr>
        <w:t>–</w:t>
      </w:r>
      <w:r w:rsidRPr="00C21BEF">
        <w:rPr>
          <w:rFonts w:ascii="Times New Roman" w:hAnsi="Times New Roman" w:cs="Times New Roman"/>
          <w:highlight w:val="yellow"/>
        </w:rPr>
        <w:t xml:space="preserve"> </w:t>
      </w:r>
      <w:r w:rsidRPr="00C21BEF">
        <w:rPr>
          <w:rFonts w:ascii="Times New Roman" w:hAnsi="Times New Roman" w:cs="Times New Roman"/>
          <w:highlight w:val="yellow"/>
          <w:lang w:val="en-US"/>
        </w:rPr>
        <w:t>2.188 eV. This indicates that electron injection from the excited sensitizer into the TiO2 conduction band is energetically favorable for all five molecules. The HOMO energies, in the range of −5.408 to −5.688 eV, lie below the I</w:t>
      </w:r>
      <w:r w:rsidRPr="00C21BEF">
        <w:rPr>
          <w:rFonts w:ascii="Times New Roman" w:hAnsi="Times New Roman" w:cs="Times New Roman"/>
          <w:highlight w:val="yellow"/>
          <w:vertAlign w:val="superscript"/>
          <w:lang w:val="en-US"/>
        </w:rPr>
        <w:t>−</w:t>
      </w:r>
      <w:r w:rsidRPr="00C21BEF">
        <w:rPr>
          <w:rFonts w:ascii="Times New Roman" w:hAnsi="Times New Roman" w:cs="Times New Roman"/>
          <w:highlight w:val="yellow"/>
          <w:lang w:val="en-US"/>
        </w:rPr>
        <w:t>/I</w:t>
      </w:r>
      <w:r w:rsidRPr="00C21BEF">
        <w:rPr>
          <w:rFonts w:ascii="Times New Roman" w:hAnsi="Times New Roman" w:cs="Times New Roman"/>
          <w:highlight w:val="yellow"/>
          <w:vertAlign w:val="subscript"/>
          <w:lang w:val="en-US"/>
        </w:rPr>
        <w:t>3</w:t>
      </w:r>
      <w:r w:rsidRPr="00C21BEF">
        <w:rPr>
          <w:rFonts w:ascii="Times New Roman" w:hAnsi="Times New Roman" w:cs="Times New Roman"/>
          <w:highlight w:val="yellow"/>
          <w:vertAlign w:val="superscript"/>
          <w:lang w:val="en-US"/>
        </w:rPr>
        <w:t>−</w:t>
      </w:r>
      <w:r w:rsidRPr="00C21BEF">
        <w:rPr>
          <w:rFonts w:ascii="Times New Roman" w:hAnsi="Times New Roman" w:cs="Times New Roman"/>
          <w:highlight w:val="yellow"/>
          <w:lang w:val="en-US"/>
        </w:rPr>
        <w:t xml:space="preserve"> redox potential (−4.8 eV), with offsets of 0.608</w:t>
      </w:r>
      <w:r w:rsidRPr="00C21BEF">
        <w:rPr>
          <w:rFonts w:ascii="Times New Roman" w:hAnsi="Times New Roman" w:cs="Times New Roman"/>
          <w:highlight w:val="yellow"/>
        </w:rPr>
        <w:t xml:space="preserve"> </w:t>
      </w:r>
      <w:r w:rsidRPr="00C21BEF">
        <w:rPr>
          <w:rFonts w:ascii="Times New Roman" w:hAnsi="Times New Roman" w:cs="Times New Roman"/>
          <w:highlight w:val="yellow"/>
          <w:lang w:val="en-US"/>
        </w:rPr>
        <w:t>–</w:t>
      </w:r>
      <w:r w:rsidRPr="00C21BEF">
        <w:rPr>
          <w:rFonts w:ascii="Times New Roman" w:hAnsi="Times New Roman" w:cs="Times New Roman"/>
          <w:highlight w:val="yellow"/>
        </w:rPr>
        <w:t xml:space="preserve"> </w:t>
      </w:r>
      <w:r w:rsidRPr="00C21BEF">
        <w:rPr>
          <w:rFonts w:ascii="Times New Roman" w:hAnsi="Times New Roman" w:cs="Times New Roman"/>
          <w:highlight w:val="yellow"/>
          <w:lang w:val="en-US"/>
        </w:rPr>
        <w:t>0.888 eV, indicating that dye regeneration by the redox electrolyte is thermodynamically feasible.</w:t>
      </w:r>
    </w:p>
    <w:p w14:paraId="1FD4D576" w14:textId="77777777" w:rsidR="002906CD" w:rsidRPr="00C21BEF" w:rsidRDefault="002906CD" w:rsidP="00175C53">
      <w:pPr>
        <w:rPr>
          <w:rFonts w:ascii="Times New Roman" w:hAnsi="Times New Roman" w:cs="Times New Roman"/>
        </w:rPr>
      </w:pPr>
    </w:p>
    <w:p w14:paraId="0658539B" w14:textId="74979174" w:rsidR="00175C53" w:rsidRPr="00C21BEF" w:rsidRDefault="002906CD" w:rsidP="00175C53">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3</w:t>
      </w:r>
      <w:r w:rsidRPr="00C21BEF">
        <w:rPr>
          <w:rFonts w:ascii="Times New Roman" w:hAnsi="Times New Roman" w:cs="Times New Roman"/>
          <w:b/>
          <w:bCs/>
        </w:rPr>
        <w:t>:</w:t>
      </w:r>
      <w:r w:rsidRPr="00C21BEF">
        <w:rPr>
          <w:rFonts w:ascii="Times New Roman" w:hAnsi="Times New Roman" w:cs="Times New Roman"/>
        </w:rPr>
        <w:t xml:space="preserve">  </w:t>
      </w:r>
      <w:r w:rsidR="00175C53" w:rsidRPr="00C21BEF">
        <w:rPr>
          <w:rFonts w:ascii="Times New Roman" w:hAnsi="Times New Roman" w:cs="Times New Roman"/>
        </w:rPr>
        <w:t>Basis Set Nomenclature / Verification:</w:t>
      </w:r>
      <w:r w:rsidR="00175C53" w:rsidRPr="00C21BEF">
        <w:rPr>
          <w:rFonts w:ascii="Times New Roman" w:hAnsi="Times New Roman" w:cs="Times New Roman"/>
        </w:rPr>
        <w:br/>
        <w:t>Section 2.1 states the use of 'def2-SVP', whereas standard ORCA quantum chemical nomenclature uses 'def2-SVP'. The authors should verify and maintain consistent notation throughout the computational details to ensure scientific accuracy and reproducibility.</w:t>
      </w:r>
    </w:p>
    <w:p w14:paraId="5E9CB11B" w14:textId="7AA168F6" w:rsidR="002906CD" w:rsidRPr="00C21BEF" w:rsidRDefault="002906CD" w:rsidP="002906CD">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3</w:t>
      </w:r>
    </w:p>
    <w:p w14:paraId="114F8636" w14:textId="50530ABE" w:rsidR="00247EDA" w:rsidRPr="00C21BEF" w:rsidRDefault="00247EDA" w:rsidP="002906CD">
      <w:pPr>
        <w:rPr>
          <w:rFonts w:ascii="Times New Roman" w:hAnsi="Times New Roman" w:cs="Times New Roman"/>
        </w:rPr>
      </w:pPr>
      <w:r w:rsidRPr="00C21BEF">
        <w:rPr>
          <w:rFonts w:ascii="Times New Roman" w:hAnsi="Times New Roman" w:cs="Times New Roman"/>
        </w:rPr>
        <w:t>The basis-set notation has been verified and standardized as def2-SVP throughout the manuscript, consistent with standard ORCA nomenclature.</w:t>
      </w:r>
    </w:p>
    <w:p w14:paraId="6B7AF0C1" w14:textId="77777777" w:rsidR="009C4DA8" w:rsidRPr="00C21BEF" w:rsidRDefault="009C4DA8" w:rsidP="00175C53">
      <w:pPr>
        <w:rPr>
          <w:rFonts w:ascii="Times New Roman" w:hAnsi="Times New Roman" w:cs="Times New Roman"/>
          <w:b/>
          <w:bCs/>
        </w:rPr>
      </w:pPr>
    </w:p>
    <w:p w14:paraId="058C1F34" w14:textId="290CCF56" w:rsidR="00175C53" w:rsidRPr="00C21BEF" w:rsidRDefault="002906CD" w:rsidP="00175C53">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4</w:t>
      </w:r>
      <w:r w:rsidRPr="00C21BEF">
        <w:rPr>
          <w:rFonts w:ascii="Times New Roman" w:hAnsi="Times New Roman" w:cs="Times New Roman"/>
          <w:b/>
          <w:bCs/>
        </w:rPr>
        <w:t>:</w:t>
      </w:r>
      <w:r w:rsidRPr="00C21BEF">
        <w:rPr>
          <w:rFonts w:ascii="Times New Roman" w:hAnsi="Times New Roman" w:cs="Times New Roman"/>
        </w:rPr>
        <w:t xml:space="preserve">  </w:t>
      </w:r>
      <w:r w:rsidR="00175C53" w:rsidRPr="00C21BEF">
        <w:rPr>
          <w:rFonts w:ascii="Times New Roman" w:hAnsi="Times New Roman" w:cs="Times New Roman"/>
        </w:rPr>
        <w:t>Overextended Claims on Solar Spectrum Coverage:</w:t>
      </w:r>
      <w:r w:rsidR="00175C53" w:rsidRPr="00C21BEF">
        <w:rPr>
          <w:rFonts w:ascii="Times New Roman" w:hAnsi="Times New Roman" w:cs="Times New Roman"/>
        </w:rPr>
        <w:br/>
        <w:t>All calculated absorption maxima (</w:t>
      </w:r>
      <w:proofErr w:type="spellStart"/>
      <w:r w:rsidR="00175C53" w:rsidRPr="00C21BEF">
        <w:rPr>
          <w:rFonts w:ascii="Times New Roman" w:hAnsi="Times New Roman" w:cs="Times New Roman"/>
        </w:rPr>
        <w:t>λ_max</w:t>
      </w:r>
      <w:proofErr w:type="spellEnd"/>
      <w:r w:rsidR="00175C53" w:rsidRPr="00C21BEF">
        <w:rPr>
          <w:rFonts w:ascii="Times New Roman" w:hAnsi="Times New Roman" w:cs="Times New Roman"/>
        </w:rPr>
        <w:t>) remain within the ultraviolet-A region (328.8–345.1 nm). The manuscript framing overstates the red-shift achievement, as these molecules do not achieve meaningful visible light harvesting. The text should be revised to reflect that these modifications shift absorption deeper into the near-UV, rather than enabling broad solar spectrum harvesting.</w:t>
      </w:r>
    </w:p>
    <w:p w14:paraId="47A7188E" w14:textId="0E8F598F" w:rsidR="002906CD" w:rsidRPr="00C21BEF" w:rsidRDefault="002906CD" w:rsidP="002906CD">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4</w:t>
      </w:r>
    </w:p>
    <w:p w14:paraId="736C3902" w14:textId="1CCFF8CC" w:rsidR="002A1631" w:rsidRPr="00C21BEF" w:rsidRDefault="002A1631" w:rsidP="002A1631">
      <w:pPr>
        <w:rPr>
          <w:rFonts w:ascii="Times New Roman" w:hAnsi="Times New Roman" w:cs="Times New Roman"/>
        </w:rPr>
      </w:pPr>
      <w:r w:rsidRPr="00C21BEF">
        <w:rPr>
          <w:rFonts w:ascii="Times New Roman" w:hAnsi="Times New Roman" w:cs="Times New Roman"/>
        </w:rPr>
        <w:t>The following sentence in the introduction has been revised from:</w:t>
      </w:r>
    </w:p>
    <w:p w14:paraId="19D3F724" w14:textId="77777777" w:rsidR="002A1631" w:rsidRPr="00C21BEF" w:rsidRDefault="002A1631" w:rsidP="002A1631">
      <w:pPr>
        <w:rPr>
          <w:rFonts w:ascii="Times New Roman" w:hAnsi="Times New Roman" w:cs="Times New Roman"/>
        </w:rPr>
      </w:pPr>
      <w:r w:rsidRPr="00C21BEF">
        <w:rPr>
          <w:rFonts w:ascii="Times New Roman" w:hAnsi="Times New Roman" w:cs="Times New Roman"/>
        </w:rPr>
        <w:t xml:space="preserve">"Therefore, structural modification of the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framework is an attractive strategy to regulate its electronic and optical properties, its optical absorption to the visible spectrum."</w:t>
      </w:r>
    </w:p>
    <w:p w14:paraId="73BCEBD4" w14:textId="77777777" w:rsidR="002A1631" w:rsidRPr="00C21BEF" w:rsidRDefault="002A1631" w:rsidP="002A1631">
      <w:pPr>
        <w:rPr>
          <w:rFonts w:ascii="Times New Roman" w:hAnsi="Times New Roman" w:cs="Times New Roman"/>
        </w:rPr>
      </w:pPr>
      <w:r w:rsidRPr="00C21BEF">
        <w:rPr>
          <w:rFonts w:ascii="Times New Roman" w:hAnsi="Times New Roman" w:cs="Times New Roman"/>
        </w:rPr>
        <w:t>to:</w:t>
      </w:r>
    </w:p>
    <w:p w14:paraId="31B0165B" w14:textId="77777777" w:rsidR="002A1631" w:rsidRPr="00C21BEF" w:rsidRDefault="002A1631" w:rsidP="002A1631">
      <w:pPr>
        <w:rPr>
          <w:rFonts w:ascii="Times New Roman" w:hAnsi="Times New Roman" w:cs="Times New Roman"/>
        </w:rPr>
      </w:pPr>
      <w:r w:rsidRPr="00C21BEF">
        <w:rPr>
          <w:rFonts w:ascii="Times New Roman" w:hAnsi="Times New Roman" w:cs="Times New Roman"/>
        </w:rPr>
        <w:t xml:space="preserve">"Therefore, structural modification of the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framework is an attractive strategy to regulate its electronic and optical properties, </w:t>
      </w:r>
      <w:r w:rsidRPr="00C21BEF">
        <w:rPr>
          <w:rFonts w:ascii="Times New Roman" w:hAnsi="Times New Roman" w:cs="Times New Roman"/>
          <w:highlight w:val="yellow"/>
        </w:rPr>
        <w:t>thereby shifting its optical absorption toward longer wavelengths."</w:t>
      </w:r>
    </w:p>
    <w:p w14:paraId="4B568217" w14:textId="77777777" w:rsidR="002A1631" w:rsidRPr="00C21BEF" w:rsidRDefault="002A1631" w:rsidP="002A1631">
      <w:pPr>
        <w:rPr>
          <w:rFonts w:ascii="Times New Roman" w:hAnsi="Times New Roman" w:cs="Times New Roman"/>
        </w:rPr>
      </w:pPr>
      <w:r w:rsidRPr="00C21BEF">
        <w:rPr>
          <w:rFonts w:ascii="Times New Roman" w:hAnsi="Times New Roman" w:cs="Times New Roman"/>
        </w:rPr>
        <w:t>In addition, the following sentence has been added to the conclusion:</w:t>
      </w:r>
    </w:p>
    <w:p w14:paraId="50C98ECF" w14:textId="77777777" w:rsidR="002A1631" w:rsidRPr="00C21BEF" w:rsidRDefault="002A1631" w:rsidP="002A1631">
      <w:pPr>
        <w:rPr>
          <w:rFonts w:ascii="Times New Roman" w:hAnsi="Times New Roman" w:cs="Times New Roman"/>
        </w:rPr>
      </w:pPr>
      <w:r w:rsidRPr="00C21BEF">
        <w:rPr>
          <w:rFonts w:ascii="Times New Roman" w:hAnsi="Times New Roman" w:cs="Times New Roman"/>
        </w:rPr>
        <w:t>"</w:t>
      </w:r>
      <w:r w:rsidRPr="00C21BEF">
        <w:rPr>
          <w:rFonts w:ascii="Times New Roman" w:hAnsi="Times New Roman" w:cs="Times New Roman"/>
          <w:highlight w:val="yellow"/>
        </w:rPr>
        <w:t>Further molecular engineering would be required to extend the absorption into the visible region."</w:t>
      </w:r>
    </w:p>
    <w:p w14:paraId="7D8CF4B5" w14:textId="77777777" w:rsidR="002A1631" w:rsidRPr="00C21BEF" w:rsidRDefault="002A1631" w:rsidP="002906CD">
      <w:pPr>
        <w:rPr>
          <w:rFonts w:ascii="Times New Roman" w:hAnsi="Times New Roman" w:cs="Times New Roman"/>
          <w:b/>
          <w:bCs/>
        </w:rPr>
      </w:pPr>
    </w:p>
    <w:p w14:paraId="6B95C2B6" w14:textId="4100D98F" w:rsidR="00175C53" w:rsidRPr="00C21BEF" w:rsidRDefault="003E00D4" w:rsidP="00175C53">
      <w:pPr>
        <w:rPr>
          <w:rFonts w:ascii="Times New Roman" w:hAnsi="Times New Roman" w:cs="Times New Roman"/>
        </w:rPr>
      </w:pPr>
      <w:r w:rsidRPr="00C21BEF">
        <w:rPr>
          <w:rFonts w:ascii="Times New Roman" w:hAnsi="Times New Roman" w:cs="Times New Roman"/>
          <w:b/>
          <w:bCs/>
        </w:rPr>
        <w:lastRenderedPageBreak/>
        <w:t>Comment #</w:t>
      </w:r>
      <w:r w:rsidRPr="00C21BEF">
        <w:rPr>
          <w:rFonts w:ascii="Times New Roman" w:hAnsi="Times New Roman" w:cs="Times New Roman"/>
          <w:b/>
          <w:bCs/>
        </w:rPr>
        <w:t>5</w:t>
      </w:r>
      <w:r w:rsidRPr="00C21BEF">
        <w:rPr>
          <w:rFonts w:ascii="Times New Roman" w:hAnsi="Times New Roman" w:cs="Times New Roman"/>
          <w:b/>
          <w:bCs/>
        </w:rPr>
        <w:t>:</w:t>
      </w:r>
      <w:r w:rsidRPr="00C21BEF">
        <w:rPr>
          <w:rFonts w:ascii="Times New Roman" w:hAnsi="Times New Roman" w:cs="Times New Roman"/>
        </w:rPr>
        <w:t xml:space="preserve">  </w:t>
      </w:r>
      <w:r w:rsidR="00175C53" w:rsidRPr="00C21BEF">
        <w:rPr>
          <w:rFonts w:ascii="Times New Roman" w:hAnsi="Times New Roman" w:cs="Times New Roman"/>
        </w:rPr>
        <w:t>Figure 2 Molecular Geometry:</w:t>
      </w:r>
      <w:r w:rsidR="00175C53" w:rsidRPr="00C21BEF">
        <w:rPr>
          <w:rFonts w:ascii="Times New Roman" w:hAnsi="Times New Roman" w:cs="Times New Roman"/>
        </w:rPr>
        <w:br/>
        <w:t xml:space="preserve">In Figure 2, several structures display severe steric hindrance and non-planar dihedral angles between the </w:t>
      </w:r>
      <w:proofErr w:type="spellStart"/>
      <w:r w:rsidR="00175C53" w:rsidRPr="00C21BEF">
        <w:rPr>
          <w:rFonts w:ascii="Times New Roman" w:hAnsi="Times New Roman" w:cs="Times New Roman"/>
        </w:rPr>
        <w:t>galangin</w:t>
      </w:r>
      <w:proofErr w:type="spellEnd"/>
      <w:r w:rsidR="00175C53" w:rsidRPr="00C21BEF">
        <w:rPr>
          <w:rFonts w:ascii="Times New Roman" w:hAnsi="Times New Roman" w:cs="Times New Roman"/>
        </w:rPr>
        <w:t xml:space="preserve"> core, spacer, and acceptor moieties. The authors should report key inter-ring dihedral angles to evaluate the degree of conjugation disruption.</w:t>
      </w:r>
    </w:p>
    <w:p w14:paraId="20181828" w14:textId="1C9318A4" w:rsidR="002906CD" w:rsidRPr="00C21BEF" w:rsidRDefault="002906CD" w:rsidP="002906CD">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5</w:t>
      </w:r>
    </w:p>
    <w:p w14:paraId="3BA183B7" w14:textId="5146C53F" w:rsidR="00BE1B42" w:rsidRPr="00C21BEF" w:rsidRDefault="00BE1B42" w:rsidP="002906CD">
      <w:pPr>
        <w:rPr>
          <w:rFonts w:ascii="Times New Roman" w:hAnsi="Times New Roman" w:cs="Times New Roman"/>
        </w:rPr>
      </w:pPr>
      <w:r w:rsidRPr="00C21BEF">
        <w:rPr>
          <w:rFonts w:ascii="Times New Roman" w:hAnsi="Times New Roman" w:cs="Times New Roman"/>
        </w:rPr>
        <w:t xml:space="preserve">We thank the reviewer for this important suggestion. The key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–spacer and spacer–acceptor dihedral angles have now been quantified and added to Table </w:t>
      </w:r>
      <w:r w:rsidRPr="00C21BEF">
        <w:rPr>
          <w:rFonts w:ascii="Times New Roman" w:hAnsi="Times New Roman" w:cs="Times New Roman"/>
        </w:rPr>
        <w:t>1:</w:t>
      </w:r>
    </w:p>
    <w:p w14:paraId="103AF43A" w14:textId="77777777" w:rsidR="00BE1B42" w:rsidRPr="00C21BEF" w:rsidRDefault="00BE1B42" w:rsidP="00BE1B42">
      <w:pPr>
        <w:rPr>
          <w:rFonts w:ascii="Times New Roman" w:hAnsi="Times New Roman" w:cs="Times New Roman"/>
          <w:highlight w:val="yellow"/>
        </w:rPr>
      </w:pPr>
      <w:r w:rsidRPr="00C21BEF">
        <w:rPr>
          <w:rFonts w:ascii="Times New Roman" w:hAnsi="Times New Roman" w:cs="Times New Roman"/>
          <w:highlight w:val="yellow"/>
        </w:rPr>
        <w:t xml:space="preserve">Table 1. </w:t>
      </w:r>
      <w:proofErr w:type="spellStart"/>
      <w:r w:rsidRPr="00C21BEF">
        <w:rPr>
          <w:rFonts w:ascii="Times New Roman" w:hAnsi="Times New Roman" w:cs="Times New Roman"/>
          <w:highlight w:val="yellow"/>
        </w:rPr>
        <w:t>Interfragment</w:t>
      </w:r>
      <w:proofErr w:type="spellEnd"/>
      <w:r w:rsidRPr="00C21BEF">
        <w:rPr>
          <w:rFonts w:ascii="Times New Roman" w:hAnsi="Times New Roman" w:cs="Times New Roman"/>
          <w:highlight w:val="yellow"/>
        </w:rPr>
        <w:t xml:space="preserve"> dihedral angles (</w:t>
      </w:r>
      <w:r w:rsidRPr="00C21BEF">
        <w:rPr>
          <w:rFonts w:ascii="Times New Roman" w:hAnsi="Times New Roman" w:cs="Times New Roman"/>
          <w:highlight w:val="yellow"/>
        </w:rPr>
        <w:sym w:font="Symbol" w:char="F071"/>
      </w:r>
      <w:r w:rsidRPr="00C21BEF">
        <w:rPr>
          <w:rFonts w:ascii="Times New Roman" w:hAnsi="Times New Roman" w:cs="Times New Roman"/>
          <w:highlight w:val="yellow"/>
        </w:rPr>
        <w:t>) and deviations from planarity (</w:t>
      </w:r>
      <w:r w:rsidRPr="00C21BEF">
        <w:rPr>
          <w:rFonts w:ascii="Times New Roman" w:hAnsi="Times New Roman" w:cs="Times New Roman"/>
          <w:highlight w:val="yellow"/>
        </w:rPr>
        <w:sym w:font="Symbol" w:char="F044"/>
      </w:r>
      <w:r w:rsidRPr="00C21BEF">
        <w:rPr>
          <w:rFonts w:ascii="Times New Roman" w:hAnsi="Times New Roman" w:cs="Times New Roman"/>
          <w:highlight w:val="yellow"/>
        </w:rPr>
        <w:sym w:font="Symbol" w:char="F071"/>
      </w:r>
      <w:r w:rsidRPr="00C21BEF">
        <w:rPr>
          <w:rFonts w:ascii="Times New Roman" w:hAnsi="Times New Roman" w:cs="Times New Roman"/>
          <w:highlight w:val="yellow"/>
        </w:rPr>
        <w:t xml:space="preserve">) of the optimized </w:t>
      </w:r>
      <w:proofErr w:type="spellStart"/>
      <w:r w:rsidRPr="00C21BEF">
        <w:rPr>
          <w:rFonts w:ascii="Times New Roman" w:hAnsi="Times New Roman" w:cs="Times New Roman"/>
          <w:highlight w:val="yellow"/>
        </w:rPr>
        <w:t>galangin</w:t>
      </w:r>
      <w:proofErr w:type="spellEnd"/>
      <w:r w:rsidRPr="00C21BEF">
        <w:rPr>
          <w:rFonts w:ascii="Times New Roman" w:hAnsi="Times New Roman" w:cs="Times New Roman"/>
          <w:highlight w:val="yellow"/>
        </w:rPr>
        <w:t>-based sensitizers.</w:t>
      </w:r>
    </w:p>
    <w:tbl>
      <w:tblPr>
        <w:tblW w:w="5000" w:type="pct"/>
        <w:tblBorders>
          <w:top w:val="single" w:sz="4" w:space="0" w:color="auto"/>
          <w:bottom w:val="single" w:sz="4" w:space="0" w:color="auto"/>
        </w:tblBorders>
        <w:tblLook w:val="04A0" w:firstRow="1" w:lastRow="0" w:firstColumn="1" w:lastColumn="0" w:noHBand="0" w:noVBand="1"/>
      </w:tblPr>
      <w:tblGrid>
        <w:gridCol w:w="1919"/>
        <w:gridCol w:w="1843"/>
        <w:gridCol w:w="1388"/>
        <w:gridCol w:w="2504"/>
        <w:gridCol w:w="1372"/>
      </w:tblGrid>
      <w:tr w:rsidR="00BE1B42" w:rsidRPr="00C21BEF" w14:paraId="41607FC8" w14:textId="77777777" w:rsidTr="00AC7218">
        <w:trPr>
          <w:trHeight w:val="532"/>
        </w:trPr>
        <w:tc>
          <w:tcPr>
            <w:tcW w:w="1063" w:type="pct"/>
            <w:tcBorders>
              <w:top w:val="single" w:sz="4" w:space="0" w:color="auto"/>
              <w:bottom w:val="single" w:sz="4" w:space="0" w:color="auto"/>
            </w:tcBorders>
            <w:vAlign w:val="center"/>
            <w:hideMark/>
          </w:tcPr>
          <w:p w14:paraId="40B8003B" w14:textId="77777777" w:rsidR="00BE1B42" w:rsidRPr="00C21BEF" w:rsidRDefault="00BE1B42" w:rsidP="00AC7218">
            <w:pPr>
              <w:spacing w:line="240" w:lineRule="auto"/>
              <w:jc w:val="center"/>
              <w:rPr>
                <w:rFonts w:ascii="Times New Roman" w:hAnsi="Times New Roman" w:cs="Times New Roman"/>
                <w:b/>
                <w:bCs/>
                <w:color w:val="000000"/>
                <w:highlight w:val="yellow"/>
                <w:lang w:eastAsia="en-ID"/>
              </w:rPr>
            </w:pPr>
            <w:r w:rsidRPr="00C21BEF">
              <w:rPr>
                <w:rFonts w:ascii="Times New Roman" w:hAnsi="Times New Roman" w:cs="Times New Roman"/>
                <w:b/>
                <w:bCs/>
                <w:color w:val="000000"/>
                <w:highlight w:val="yellow"/>
                <w:lang w:eastAsia="en-ID"/>
              </w:rPr>
              <w:t>Molecules</w:t>
            </w:r>
          </w:p>
        </w:tc>
        <w:tc>
          <w:tcPr>
            <w:tcW w:w="1021" w:type="pct"/>
            <w:tcBorders>
              <w:top w:val="single" w:sz="4" w:space="0" w:color="auto"/>
              <w:bottom w:val="single" w:sz="4" w:space="0" w:color="auto"/>
            </w:tcBorders>
            <w:vAlign w:val="center"/>
            <w:hideMark/>
          </w:tcPr>
          <w:p w14:paraId="6DEDA2E2" w14:textId="77777777" w:rsidR="00BE1B42" w:rsidRPr="00C21BEF" w:rsidRDefault="00BE1B42" w:rsidP="00AC7218">
            <w:pPr>
              <w:spacing w:line="240" w:lineRule="auto"/>
              <w:jc w:val="center"/>
              <w:rPr>
                <w:rFonts w:ascii="Times New Roman" w:hAnsi="Times New Roman" w:cs="Times New Roman"/>
                <w:b/>
                <w:bCs/>
                <w:color w:val="000000"/>
                <w:highlight w:val="yellow"/>
                <w:lang w:eastAsia="en-ID"/>
              </w:rPr>
            </w:pPr>
            <w:r w:rsidRPr="00C21BEF">
              <w:rPr>
                <w:rFonts w:ascii="Times New Roman" w:hAnsi="Times New Roman" w:cs="Times New Roman"/>
                <w:b/>
                <w:bCs/>
                <w:color w:val="000000"/>
                <w:highlight w:val="yellow"/>
                <w:lang w:eastAsia="en-ID"/>
              </w:rPr>
              <w:t>G–</w:t>
            </w:r>
            <w:r w:rsidRPr="00C21BEF">
              <w:rPr>
                <w:rFonts w:ascii="Times New Roman" w:hAnsi="Times New Roman" w:cs="Times New Roman"/>
                <w:b/>
                <w:bCs/>
                <w:color w:val="000000"/>
                <w:highlight w:val="yellow"/>
                <w:lang w:eastAsia="en-ID"/>
              </w:rPr>
              <w:sym w:font="Symbol" w:char="F070"/>
            </w:r>
            <w:r w:rsidRPr="00C21BEF">
              <w:rPr>
                <w:rFonts w:ascii="Times New Roman" w:hAnsi="Times New Roman" w:cs="Times New Roman"/>
                <w:b/>
                <w:bCs/>
                <w:color w:val="000000"/>
                <w:highlight w:val="yellow"/>
                <w:lang w:eastAsia="en-ID"/>
              </w:rPr>
              <w:t>-spacer, θ₁ (°)</w:t>
            </w:r>
          </w:p>
        </w:tc>
        <w:tc>
          <w:tcPr>
            <w:tcW w:w="769" w:type="pct"/>
            <w:tcBorders>
              <w:top w:val="single" w:sz="4" w:space="0" w:color="auto"/>
              <w:bottom w:val="single" w:sz="4" w:space="0" w:color="auto"/>
            </w:tcBorders>
            <w:vAlign w:val="center"/>
            <w:hideMark/>
          </w:tcPr>
          <w:p w14:paraId="508EB4EE" w14:textId="77777777" w:rsidR="00BE1B42" w:rsidRPr="00C21BEF" w:rsidRDefault="00BE1B42" w:rsidP="00AC7218">
            <w:pPr>
              <w:spacing w:line="240" w:lineRule="auto"/>
              <w:jc w:val="center"/>
              <w:rPr>
                <w:rFonts w:ascii="Times New Roman" w:hAnsi="Times New Roman" w:cs="Times New Roman"/>
                <w:b/>
                <w:bCs/>
                <w:color w:val="000000"/>
                <w:highlight w:val="yellow"/>
                <w:lang w:eastAsia="en-ID"/>
              </w:rPr>
            </w:pPr>
            <w:r w:rsidRPr="00C21BEF">
              <w:rPr>
                <w:rFonts w:ascii="Times New Roman" w:hAnsi="Times New Roman" w:cs="Times New Roman"/>
                <w:b/>
                <w:bCs/>
                <w:color w:val="000000"/>
                <w:highlight w:val="yellow"/>
                <w:lang w:eastAsia="en-ID"/>
              </w:rPr>
              <w:sym w:font="Symbol" w:char="F044"/>
            </w:r>
            <w:r w:rsidRPr="00C21BEF">
              <w:rPr>
                <w:rFonts w:ascii="Times New Roman" w:hAnsi="Times New Roman" w:cs="Times New Roman"/>
                <w:b/>
                <w:bCs/>
                <w:color w:val="000000"/>
                <w:highlight w:val="yellow"/>
                <w:lang w:eastAsia="en-ID"/>
              </w:rPr>
              <w:t>θ₁ (°)</w:t>
            </w:r>
          </w:p>
        </w:tc>
        <w:tc>
          <w:tcPr>
            <w:tcW w:w="1387" w:type="pct"/>
            <w:tcBorders>
              <w:top w:val="single" w:sz="4" w:space="0" w:color="auto"/>
              <w:bottom w:val="single" w:sz="4" w:space="0" w:color="auto"/>
            </w:tcBorders>
            <w:vAlign w:val="center"/>
            <w:hideMark/>
          </w:tcPr>
          <w:p w14:paraId="0DBFFFFB" w14:textId="77777777" w:rsidR="00BE1B42" w:rsidRPr="00C21BEF" w:rsidRDefault="00BE1B42" w:rsidP="00AC7218">
            <w:pPr>
              <w:spacing w:line="240" w:lineRule="auto"/>
              <w:jc w:val="center"/>
              <w:rPr>
                <w:rFonts w:ascii="Times New Roman" w:hAnsi="Times New Roman" w:cs="Times New Roman"/>
                <w:b/>
                <w:bCs/>
                <w:color w:val="000000"/>
                <w:highlight w:val="yellow"/>
                <w:lang w:eastAsia="en-ID"/>
              </w:rPr>
            </w:pPr>
            <w:r w:rsidRPr="00C21BEF">
              <w:rPr>
                <w:rFonts w:ascii="Times New Roman" w:hAnsi="Times New Roman" w:cs="Times New Roman"/>
                <w:b/>
                <w:bCs/>
                <w:color w:val="000000"/>
                <w:highlight w:val="yellow"/>
                <w:lang w:eastAsia="en-ID"/>
              </w:rPr>
              <w:sym w:font="Symbol" w:char="F070"/>
            </w:r>
            <w:r w:rsidRPr="00C21BEF">
              <w:rPr>
                <w:rFonts w:ascii="Times New Roman" w:hAnsi="Times New Roman" w:cs="Times New Roman"/>
                <w:b/>
                <w:bCs/>
                <w:color w:val="000000"/>
                <w:highlight w:val="yellow"/>
                <w:lang w:eastAsia="en-ID"/>
              </w:rPr>
              <w:t>-spacer–acceptor, θ₂ (°)</w:t>
            </w:r>
          </w:p>
        </w:tc>
        <w:tc>
          <w:tcPr>
            <w:tcW w:w="760" w:type="pct"/>
            <w:tcBorders>
              <w:top w:val="single" w:sz="4" w:space="0" w:color="auto"/>
              <w:bottom w:val="single" w:sz="4" w:space="0" w:color="auto"/>
            </w:tcBorders>
            <w:vAlign w:val="center"/>
            <w:hideMark/>
          </w:tcPr>
          <w:p w14:paraId="19CBFAC8" w14:textId="77777777" w:rsidR="00BE1B42" w:rsidRPr="00C21BEF" w:rsidRDefault="00BE1B42" w:rsidP="00AC7218">
            <w:pPr>
              <w:spacing w:line="240" w:lineRule="auto"/>
              <w:jc w:val="center"/>
              <w:rPr>
                <w:rFonts w:ascii="Times New Roman" w:hAnsi="Times New Roman" w:cs="Times New Roman"/>
                <w:b/>
                <w:bCs/>
                <w:color w:val="000000"/>
                <w:highlight w:val="yellow"/>
                <w:lang w:eastAsia="en-ID"/>
              </w:rPr>
            </w:pPr>
            <w:r w:rsidRPr="00C21BEF">
              <w:rPr>
                <w:rFonts w:ascii="Times New Roman" w:hAnsi="Times New Roman" w:cs="Times New Roman"/>
                <w:b/>
                <w:bCs/>
                <w:color w:val="000000"/>
                <w:highlight w:val="yellow"/>
                <w:lang w:eastAsia="en-ID"/>
              </w:rPr>
              <w:sym w:font="Symbol" w:char="F044"/>
            </w:r>
            <w:r w:rsidRPr="00C21BEF">
              <w:rPr>
                <w:rFonts w:ascii="Times New Roman" w:hAnsi="Times New Roman" w:cs="Times New Roman"/>
                <w:b/>
                <w:bCs/>
                <w:color w:val="000000"/>
                <w:highlight w:val="yellow"/>
                <w:lang w:eastAsia="en-ID"/>
              </w:rPr>
              <w:t>θ</w:t>
            </w:r>
            <w:r w:rsidRPr="00C21BEF">
              <w:rPr>
                <w:rFonts w:ascii="Times New Roman" w:hAnsi="Times New Roman" w:cs="Times New Roman"/>
                <w:b/>
                <w:bCs/>
                <w:color w:val="000000"/>
                <w:highlight w:val="yellow"/>
                <w:vertAlign w:val="subscript"/>
                <w:lang w:eastAsia="en-ID"/>
              </w:rPr>
              <w:t>2</w:t>
            </w:r>
            <w:r w:rsidRPr="00C21BEF">
              <w:rPr>
                <w:rFonts w:ascii="Times New Roman" w:hAnsi="Times New Roman" w:cs="Times New Roman"/>
                <w:b/>
                <w:bCs/>
                <w:color w:val="000000"/>
                <w:highlight w:val="yellow"/>
                <w:lang w:eastAsia="en-ID"/>
              </w:rPr>
              <w:t xml:space="preserve"> (°)</w:t>
            </w:r>
          </w:p>
        </w:tc>
      </w:tr>
      <w:tr w:rsidR="00BE1B42" w:rsidRPr="00C21BEF" w14:paraId="282D7CF7" w14:textId="77777777" w:rsidTr="00AC7218">
        <w:trPr>
          <w:trHeight w:val="288"/>
        </w:trPr>
        <w:tc>
          <w:tcPr>
            <w:tcW w:w="1063" w:type="pct"/>
            <w:tcBorders>
              <w:top w:val="single" w:sz="4" w:space="0" w:color="auto"/>
            </w:tcBorders>
            <w:vAlign w:val="center"/>
            <w:hideMark/>
          </w:tcPr>
          <w:p w14:paraId="2E12ED2E"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GFB</w:t>
            </w:r>
          </w:p>
        </w:tc>
        <w:tc>
          <w:tcPr>
            <w:tcW w:w="1021" w:type="pct"/>
            <w:tcBorders>
              <w:top w:val="single" w:sz="4" w:space="0" w:color="auto"/>
            </w:tcBorders>
            <w:vAlign w:val="center"/>
            <w:hideMark/>
          </w:tcPr>
          <w:p w14:paraId="2721C92A"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136.6</w:t>
            </w:r>
          </w:p>
        </w:tc>
        <w:tc>
          <w:tcPr>
            <w:tcW w:w="769" w:type="pct"/>
            <w:tcBorders>
              <w:top w:val="single" w:sz="4" w:space="0" w:color="auto"/>
            </w:tcBorders>
            <w:vAlign w:val="center"/>
            <w:hideMark/>
          </w:tcPr>
          <w:p w14:paraId="562F26B9"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43.4</w:t>
            </w:r>
          </w:p>
        </w:tc>
        <w:tc>
          <w:tcPr>
            <w:tcW w:w="1387" w:type="pct"/>
            <w:tcBorders>
              <w:top w:val="single" w:sz="4" w:space="0" w:color="auto"/>
            </w:tcBorders>
            <w:vAlign w:val="center"/>
            <w:hideMark/>
          </w:tcPr>
          <w:p w14:paraId="69ED7892"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−13.4</w:t>
            </w:r>
          </w:p>
        </w:tc>
        <w:tc>
          <w:tcPr>
            <w:tcW w:w="760" w:type="pct"/>
            <w:tcBorders>
              <w:top w:val="single" w:sz="4" w:space="0" w:color="auto"/>
            </w:tcBorders>
            <w:vAlign w:val="center"/>
            <w:hideMark/>
          </w:tcPr>
          <w:p w14:paraId="5637726C"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13.4</w:t>
            </w:r>
          </w:p>
        </w:tc>
      </w:tr>
      <w:tr w:rsidR="00BE1B42" w:rsidRPr="00C21BEF" w14:paraId="6CA119B1" w14:textId="77777777" w:rsidTr="00AC7218">
        <w:trPr>
          <w:trHeight w:val="288"/>
        </w:trPr>
        <w:tc>
          <w:tcPr>
            <w:tcW w:w="1063" w:type="pct"/>
            <w:vAlign w:val="center"/>
            <w:hideMark/>
          </w:tcPr>
          <w:p w14:paraId="741FE080"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GFS</w:t>
            </w:r>
          </w:p>
        </w:tc>
        <w:tc>
          <w:tcPr>
            <w:tcW w:w="1021" w:type="pct"/>
            <w:vAlign w:val="center"/>
            <w:hideMark/>
          </w:tcPr>
          <w:p w14:paraId="05F4875D"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−104.4</w:t>
            </w:r>
          </w:p>
        </w:tc>
        <w:tc>
          <w:tcPr>
            <w:tcW w:w="769" w:type="pct"/>
            <w:vAlign w:val="center"/>
            <w:hideMark/>
          </w:tcPr>
          <w:p w14:paraId="10F9ADD1"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75.6</w:t>
            </w:r>
          </w:p>
        </w:tc>
        <w:tc>
          <w:tcPr>
            <w:tcW w:w="1387" w:type="pct"/>
            <w:vAlign w:val="center"/>
            <w:hideMark/>
          </w:tcPr>
          <w:p w14:paraId="558DD2C9"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176.4</w:t>
            </w:r>
          </w:p>
        </w:tc>
        <w:tc>
          <w:tcPr>
            <w:tcW w:w="760" w:type="pct"/>
            <w:vAlign w:val="center"/>
            <w:hideMark/>
          </w:tcPr>
          <w:p w14:paraId="3CDC5B23"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3.6</w:t>
            </w:r>
          </w:p>
        </w:tc>
      </w:tr>
      <w:tr w:rsidR="00BE1B42" w:rsidRPr="00C21BEF" w14:paraId="0467901D" w14:textId="77777777" w:rsidTr="00AC7218">
        <w:trPr>
          <w:trHeight w:val="288"/>
        </w:trPr>
        <w:tc>
          <w:tcPr>
            <w:tcW w:w="1063" w:type="pct"/>
            <w:vAlign w:val="center"/>
            <w:hideMark/>
          </w:tcPr>
          <w:p w14:paraId="7B637C2E"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GTB</w:t>
            </w:r>
          </w:p>
        </w:tc>
        <w:tc>
          <w:tcPr>
            <w:tcW w:w="1021" w:type="pct"/>
            <w:vAlign w:val="center"/>
            <w:hideMark/>
          </w:tcPr>
          <w:p w14:paraId="329FEBAB"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143.6</w:t>
            </w:r>
          </w:p>
        </w:tc>
        <w:tc>
          <w:tcPr>
            <w:tcW w:w="769" w:type="pct"/>
            <w:vAlign w:val="center"/>
            <w:hideMark/>
          </w:tcPr>
          <w:p w14:paraId="3C20DBCF"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36.4</w:t>
            </w:r>
          </w:p>
        </w:tc>
        <w:tc>
          <w:tcPr>
            <w:tcW w:w="1387" w:type="pct"/>
            <w:vAlign w:val="center"/>
            <w:hideMark/>
          </w:tcPr>
          <w:p w14:paraId="539D6220"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157.2</w:t>
            </w:r>
          </w:p>
        </w:tc>
        <w:tc>
          <w:tcPr>
            <w:tcW w:w="760" w:type="pct"/>
            <w:vAlign w:val="center"/>
            <w:hideMark/>
          </w:tcPr>
          <w:p w14:paraId="57CA3BDE"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22.8</w:t>
            </w:r>
          </w:p>
        </w:tc>
      </w:tr>
      <w:tr w:rsidR="00BE1B42" w:rsidRPr="00C21BEF" w14:paraId="2EACAEEF" w14:textId="77777777" w:rsidTr="00AC7218">
        <w:trPr>
          <w:trHeight w:val="288"/>
        </w:trPr>
        <w:tc>
          <w:tcPr>
            <w:tcW w:w="1063" w:type="pct"/>
            <w:vAlign w:val="center"/>
            <w:hideMark/>
          </w:tcPr>
          <w:p w14:paraId="1410618F"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GTS</w:t>
            </w:r>
          </w:p>
        </w:tc>
        <w:tc>
          <w:tcPr>
            <w:tcW w:w="1021" w:type="pct"/>
            <w:vAlign w:val="center"/>
            <w:hideMark/>
          </w:tcPr>
          <w:p w14:paraId="537B6731"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−105.2</w:t>
            </w:r>
          </w:p>
        </w:tc>
        <w:tc>
          <w:tcPr>
            <w:tcW w:w="769" w:type="pct"/>
            <w:vAlign w:val="center"/>
            <w:hideMark/>
          </w:tcPr>
          <w:p w14:paraId="40329E24"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74.8</w:t>
            </w:r>
          </w:p>
        </w:tc>
        <w:tc>
          <w:tcPr>
            <w:tcW w:w="1387" w:type="pct"/>
            <w:vAlign w:val="center"/>
            <w:hideMark/>
          </w:tcPr>
          <w:p w14:paraId="70E98EA9"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179.9</w:t>
            </w:r>
          </w:p>
        </w:tc>
        <w:tc>
          <w:tcPr>
            <w:tcW w:w="760" w:type="pct"/>
            <w:vAlign w:val="center"/>
            <w:hideMark/>
          </w:tcPr>
          <w:p w14:paraId="4B12E374" w14:textId="77777777" w:rsidR="00BE1B42" w:rsidRPr="00C21BEF" w:rsidRDefault="00BE1B42" w:rsidP="00AC7218">
            <w:pPr>
              <w:spacing w:line="240" w:lineRule="auto"/>
              <w:jc w:val="center"/>
              <w:rPr>
                <w:rFonts w:ascii="Times New Roman" w:hAnsi="Times New Roman" w:cs="Times New Roman"/>
                <w:color w:val="000000"/>
                <w:highlight w:val="yellow"/>
                <w:lang w:eastAsia="en-ID"/>
              </w:rPr>
            </w:pPr>
            <w:r w:rsidRPr="00C21BEF">
              <w:rPr>
                <w:rFonts w:ascii="Times New Roman" w:hAnsi="Times New Roman" w:cs="Times New Roman"/>
                <w:color w:val="000000"/>
                <w:highlight w:val="yellow"/>
                <w:lang w:eastAsia="en-ID"/>
              </w:rPr>
              <w:t>0.1</w:t>
            </w:r>
          </w:p>
        </w:tc>
      </w:tr>
    </w:tbl>
    <w:p w14:paraId="31BFDFD7" w14:textId="77777777" w:rsidR="00BE1B42" w:rsidRPr="00C21BEF" w:rsidRDefault="00BE1B42" w:rsidP="00BE1B42">
      <w:pPr>
        <w:rPr>
          <w:rFonts w:ascii="Times New Roman" w:hAnsi="Times New Roman" w:cs="Times New Roman"/>
          <w:highlight w:val="yellow"/>
        </w:rPr>
      </w:pPr>
    </w:p>
    <w:p w14:paraId="28FB0CDB" w14:textId="77777777" w:rsidR="00BE1B42" w:rsidRPr="00C21BEF" w:rsidRDefault="00BE1B42" w:rsidP="00BE1B42">
      <w:pPr>
        <w:jc w:val="both"/>
        <w:rPr>
          <w:rFonts w:ascii="Times New Roman" w:hAnsi="Times New Roman" w:cs="Times New Roman"/>
        </w:rPr>
      </w:pPr>
      <w:r w:rsidRPr="00C21BEF">
        <w:rPr>
          <w:rFonts w:ascii="Times New Roman" w:hAnsi="Times New Roman" w:cs="Times New Roman"/>
          <w:highlight w:val="yellow"/>
        </w:rPr>
        <w:t xml:space="preserve">The optimized structures exhibit different degrees of torsional distortion at the </w:t>
      </w:r>
      <w:proofErr w:type="spellStart"/>
      <w:r w:rsidRPr="00C21BEF">
        <w:rPr>
          <w:rFonts w:ascii="Times New Roman" w:hAnsi="Times New Roman" w:cs="Times New Roman"/>
          <w:highlight w:val="yellow"/>
        </w:rPr>
        <w:t>galangin</w:t>
      </w:r>
      <w:proofErr w:type="spellEnd"/>
      <w:r w:rsidRPr="00C21BEF">
        <w:rPr>
          <w:rFonts w:ascii="Times New Roman" w:hAnsi="Times New Roman" w:cs="Times New Roman"/>
          <w:highlight w:val="yellow"/>
        </w:rPr>
        <w:t xml:space="preserve">–π-spacer and π-spacer–acceptor junctions (Table X). The </w:t>
      </w:r>
      <w:proofErr w:type="spellStart"/>
      <w:r w:rsidRPr="00C21BEF">
        <w:rPr>
          <w:rFonts w:ascii="Times New Roman" w:hAnsi="Times New Roman" w:cs="Times New Roman"/>
          <w:highlight w:val="yellow"/>
        </w:rPr>
        <w:t>galangin</w:t>
      </w:r>
      <w:proofErr w:type="spellEnd"/>
      <w:r w:rsidRPr="00C21BEF">
        <w:rPr>
          <w:rFonts w:ascii="Times New Roman" w:hAnsi="Times New Roman" w:cs="Times New Roman"/>
          <w:highlight w:val="yellow"/>
        </w:rPr>
        <w:t xml:space="preserve">–spacer dihedral angles are 136.6°, −104.4°, 143.6°, and −105.2° for GFB, GFS, GTB, and GTS, corresponding to deviations from planarity of 43.4°, 75.6°, 36.4°, and 74.8°, respectively. In contrast, the spacer–acceptor junctions are generally more planar, particularly for GFS (176.4°) and GTS (179.9°), with deviations of only 3.6° and 0.1°, respectively. These results indicate that the major conformational distortion occurs mainly at the </w:t>
      </w:r>
      <w:proofErr w:type="spellStart"/>
      <w:r w:rsidRPr="00C21BEF">
        <w:rPr>
          <w:rFonts w:ascii="Times New Roman" w:hAnsi="Times New Roman" w:cs="Times New Roman"/>
          <w:highlight w:val="yellow"/>
        </w:rPr>
        <w:t>galangin</w:t>
      </w:r>
      <w:proofErr w:type="spellEnd"/>
      <w:r w:rsidRPr="00C21BEF">
        <w:rPr>
          <w:rFonts w:ascii="Times New Roman" w:hAnsi="Times New Roman" w:cs="Times New Roman"/>
          <w:highlight w:val="yellow"/>
        </w:rPr>
        <w:t>–spacer junction, especially in the S-containing derivatives GFS and GTS. Such torsional distortion can reduce π-orbital overlap between adjacent fragments and partially disrupt effective conjugation. Nevertheless, the FMO distributions in Fig. 3 show that electronic communication between the molecular fragments is retained, indicating that the optoelectronic response is governed by the combined effects of molecular conformation and the electronic nature of the spacer–acceptor units.</w:t>
      </w:r>
    </w:p>
    <w:p w14:paraId="4C2E0105" w14:textId="77777777" w:rsidR="00BE1B42" w:rsidRPr="00C21BEF" w:rsidRDefault="00BE1B42" w:rsidP="00175C53">
      <w:pPr>
        <w:rPr>
          <w:rFonts w:ascii="Times New Roman" w:hAnsi="Times New Roman" w:cs="Times New Roman"/>
          <w:b/>
          <w:bCs/>
        </w:rPr>
      </w:pPr>
    </w:p>
    <w:p w14:paraId="6B5BC27D" w14:textId="2309DB47" w:rsidR="00175C53" w:rsidRPr="00C21BEF" w:rsidRDefault="003E00D4" w:rsidP="00175C53">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6</w:t>
      </w:r>
      <w:r w:rsidRPr="00C21BEF">
        <w:rPr>
          <w:rFonts w:ascii="Times New Roman" w:hAnsi="Times New Roman" w:cs="Times New Roman"/>
          <w:b/>
          <w:bCs/>
        </w:rPr>
        <w:t>:</w:t>
      </w:r>
      <w:r w:rsidRPr="00C21BEF">
        <w:rPr>
          <w:rFonts w:ascii="Times New Roman" w:hAnsi="Times New Roman" w:cs="Times New Roman"/>
        </w:rPr>
        <w:t xml:space="preserve">  </w:t>
      </w:r>
      <w:r w:rsidR="00175C53" w:rsidRPr="00C21BEF">
        <w:rPr>
          <w:rFonts w:ascii="Times New Roman" w:hAnsi="Times New Roman" w:cs="Times New Roman"/>
        </w:rPr>
        <w:t>Table 1 Formatting and Units:</w:t>
      </w:r>
      <w:r w:rsidR="00175C53" w:rsidRPr="00C21BEF">
        <w:rPr>
          <w:rFonts w:ascii="Times New Roman" w:hAnsi="Times New Roman" w:cs="Times New Roman"/>
        </w:rPr>
        <w:br/>
        <w:t>Ensure that dipole moment units (Debye, D) in Table 1 are explicitly formatted and consistent with standard Physical Chemistry notation across all tables and text.</w:t>
      </w:r>
    </w:p>
    <w:p w14:paraId="77172278" w14:textId="62A3002C" w:rsidR="002906CD" w:rsidRPr="00C21BEF" w:rsidRDefault="002906CD" w:rsidP="002906CD">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6</w:t>
      </w:r>
      <w:r w:rsidR="003741A8" w:rsidRPr="00C21BEF">
        <w:rPr>
          <w:rFonts w:ascii="Times New Roman" w:hAnsi="Times New Roman" w:cs="Times New Roman"/>
          <w:b/>
          <w:bCs/>
        </w:rPr>
        <w:t xml:space="preserve"> </w:t>
      </w:r>
      <w:r w:rsidR="003741A8" w:rsidRPr="00C21BEF">
        <w:rPr>
          <w:rFonts w:ascii="Times New Roman" w:hAnsi="Times New Roman" w:cs="Times New Roman"/>
        </w:rPr>
        <w:t>Table 1 Formatting and Units:</w:t>
      </w:r>
    </w:p>
    <w:p w14:paraId="7378A9CD" w14:textId="71887D21" w:rsidR="002906CD" w:rsidRDefault="00A3237B" w:rsidP="00175C53">
      <w:pPr>
        <w:rPr>
          <w:rFonts w:ascii="Times New Roman" w:hAnsi="Times New Roman" w:cs="Times New Roman"/>
        </w:rPr>
      </w:pPr>
      <w:r w:rsidRPr="00C21BEF">
        <w:rPr>
          <w:rFonts w:ascii="Times New Roman" w:hAnsi="Times New Roman" w:cs="Times New Roman"/>
        </w:rPr>
        <w:t xml:space="preserve">The dipole-moment unit in Table 1 has been explicitly specified as </w:t>
      </w:r>
      <w:r w:rsidRPr="00C21BEF">
        <w:rPr>
          <w:rFonts w:ascii="Times New Roman" w:hAnsi="Times New Roman" w:cs="Times New Roman"/>
        </w:rPr>
        <w:t>(</w:t>
      </w:r>
      <w:r w:rsidRPr="00C21BEF">
        <w:rPr>
          <w:rFonts w:ascii="Times New Roman" w:hAnsi="Times New Roman" w:cs="Times New Roman"/>
        </w:rPr>
        <w:t>Debye</w:t>
      </w:r>
      <w:r w:rsidRPr="00C21BEF">
        <w:rPr>
          <w:rFonts w:ascii="Times New Roman" w:hAnsi="Times New Roman" w:cs="Times New Roman"/>
        </w:rPr>
        <w:t xml:space="preserve">, </w:t>
      </w:r>
      <w:r w:rsidRPr="00C21BEF">
        <w:rPr>
          <w:rFonts w:ascii="Times New Roman" w:hAnsi="Times New Roman" w:cs="Times New Roman"/>
        </w:rPr>
        <w:t>D</w:t>
      </w:r>
      <w:r w:rsidRPr="00C21BEF">
        <w:rPr>
          <w:rFonts w:ascii="Times New Roman" w:hAnsi="Times New Roman" w:cs="Times New Roman"/>
        </w:rPr>
        <w:t>)</w:t>
      </w:r>
      <w:r w:rsidRPr="00C21BEF">
        <w:rPr>
          <w:rFonts w:ascii="Times New Roman" w:hAnsi="Times New Roman" w:cs="Times New Roman"/>
        </w:rPr>
        <w:t>, and the column heading has been revised to μ (D</w:t>
      </w:r>
      <w:r w:rsidRPr="00C21BEF">
        <w:rPr>
          <w:rFonts w:ascii="Times New Roman" w:hAnsi="Times New Roman" w:cs="Times New Roman"/>
        </w:rPr>
        <w:t>ebye, D</w:t>
      </w:r>
      <w:r w:rsidRPr="00C21BEF">
        <w:rPr>
          <w:rFonts w:ascii="Times New Roman" w:hAnsi="Times New Roman" w:cs="Times New Roman"/>
        </w:rPr>
        <w:t>).”</w:t>
      </w:r>
    </w:p>
    <w:p w14:paraId="7453A86E" w14:textId="77777777" w:rsidR="00A86F51" w:rsidRPr="00C21BEF" w:rsidRDefault="00A86F51" w:rsidP="00175C53">
      <w:pPr>
        <w:rPr>
          <w:rFonts w:ascii="Times New Roman" w:hAnsi="Times New Roman" w:cs="Times New Roman"/>
        </w:rPr>
      </w:pPr>
    </w:p>
    <w:p w14:paraId="3A4137B6" w14:textId="67E05A27" w:rsidR="00175C53" w:rsidRPr="00C21BEF" w:rsidRDefault="00175C53" w:rsidP="00175C53">
      <w:pPr>
        <w:rPr>
          <w:rFonts w:ascii="Times New Roman" w:hAnsi="Times New Roman" w:cs="Times New Roman"/>
          <w:b/>
          <w:bCs/>
          <w:u w:val="single"/>
        </w:rPr>
      </w:pPr>
      <w:r w:rsidRPr="00C21BEF">
        <w:rPr>
          <w:rFonts w:ascii="Times New Roman" w:hAnsi="Times New Roman" w:cs="Times New Roman"/>
          <w:b/>
          <w:bCs/>
          <w:u w:val="single"/>
        </w:rPr>
        <w:lastRenderedPageBreak/>
        <w:t>Reviewer #2</w:t>
      </w:r>
    </w:p>
    <w:p w14:paraId="73031628"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t xml:space="preserve">The manuscript investigates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as a basis for optoelectronic sensitizers. The study systematically explores the effect of furan and thiophene spacers alongside two terminal acceptors. The methodology is sound, and the conclusions are supported by the calculated data. </w:t>
      </w:r>
    </w:p>
    <w:p w14:paraId="587602F4"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t xml:space="preserve">Major Comments: </w:t>
      </w:r>
    </w:p>
    <w:p w14:paraId="20CF7D04" w14:textId="210B9445" w:rsidR="003E00D4" w:rsidRPr="00C21BEF" w:rsidRDefault="003E00D4" w:rsidP="003E00D4">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1</w:t>
      </w:r>
      <w:r w:rsidRPr="00C21BEF">
        <w:rPr>
          <w:rFonts w:ascii="Times New Roman" w:hAnsi="Times New Roman" w:cs="Times New Roman"/>
          <w:b/>
          <w:bCs/>
        </w:rPr>
        <w:t>:</w:t>
      </w:r>
      <w:r w:rsidRPr="00C21BEF">
        <w:rPr>
          <w:rFonts w:ascii="Times New Roman" w:hAnsi="Times New Roman" w:cs="Times New Roman"/>
        </w:rPr>
        <w:t xml:space="preserve">  </w:t>
      </w:r>
    </w:p>
    <w:p w14:paraId="24458717" w14:textId="38DC8396" w:rsidR="003E00D4" w:rsidRPr="00C21BEF" w:rsidRDefault="00175C53" w:rsidP="003E00D4">
      <w:pPr>
        <w:rPr>
          <w:rFonts w:ascii="Times New Roman" w:hAnsi="Times New Roman" w:cs="Times New Roman"/>
        </w:rPr>
      </w:pPr>
      <w:r w:rsidRPr="00C21BEF">
        <w:rPr>
          <w:rFonts w:ascii="Times New Roman" w:hAnsi="Times New Roman" w:cs="Times New Roman"/>
        </w:rPr>
        <w:t>Justify the specific selection of 4-ethynylbenzoic acid and ethyl cyanoacetate as terminal acceptors.</w:t>
      </w:r>
    </w:p>
    <w:p w14:paraId="6FD8DBE3" w14:textId="448F66D6" w:rsidR="003E00D4" w:rsidRPr="00C21BEF" w:rsidRDefault="003E00D4" w:rsidP="003E00D4">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1</w:t>
      </w:r>
    </w:p>
    <w:p w14:paraId="61900198" w14:textId="2D2B8E18" w:rsidR="003E00D4" w:rsidRPr="00C21BEF" w:rsidRDefault="003741A8" w:rsidP="003E00D4">
      <w:pPr>
        <w:rPr>
          <w:rFonts w:ascii="Times New Roman" w:hAnsi="Times New Roman" w:cs="Times New Roman"/>
        </w:rPr>
      </w:pPr>
      <w:r w:rsidRPr="00C21BEF">
        <w:rPr>
          <w:rFonts w:ascii="Times New Roman" w:hAnsi="Times New Roman" w:cs="Times New Roman"/>
        </w:rPr>
        <w:t xml:space="preserve">We thank the reviewer for requesting clarification regarding the selection of the terminal acceptors. The rationale has </w:t>
      </w:r>
      <w:r w:rsidRPr="00C21BEF">
        <w:rPr>
          <w:rFonts w:ascii="Times New Roman" w:hAnsi="Times New Roman" w:cs="Times New Roman"/>
        </w:rPr>
        <w:t>already</w:t>
      </w:r>
      <w:r w:rsidRPr="00C21BEF">
        <w:rPr>
          <w:rFonts w:ascii="Times New Roman" w:hAnsi="Times New Roman" w:cs="Times New Roman"/>
        </w:rPr>
        <w:t xml:space="preserve"> been added to the Introduction</w:t>
      </w:r>
    </w:p>
    <w:p w14:paraId="425C1F62" w14:textId="6ED4300C" w:rsidR="00175C53" w:rsidRPr="00C21BEF" w:rsidRDefault="003741A8" w:rsidP="003E00D4">
      <w:pPr>
        <w:rPr>
          <w:rFonts w:ascii="Times New Roman" w:hAnsi="Times New Roman" w:cs="Times New Roman"/>
        </w:rPr>
      </w:pPr>
      <w:r w:rsidRPr="00C21BEF">
        <w:rPr>
          <w:rFonts w:ascii="Times New Roman" w:hAnsi="Times New Roman" w:cs="Times New Roman"/>
          <w:highlight w:val="yellow"/>
        </w:rPr>
        <w:t xml:space="preserve">The terminal acceptor further stabilizes the unoccupied states and extends conjugation toward the molecular terminus. In this study, 4-ethynylbenzoic acid and ethyl cyanoacetate were selected as two electronically distinct acceptors: the former provides an extended ethynyl–phenyl conjugated pathway with a carboxylic acid group, while the latter offers strong electron-withdrawing carbonyl and </w:t>
      </w:r>
      <w:proofErr w:type="spellStart"/>
      <w:r w:rsidRPr="00C21BEF">
        <w:rPr>
          <w:rFonts w:ascii="Times New Roman" w:hAnsi="Times New Roman" w:cs="Times New Roman"/>
          <w:highlight w:val="yellow"/>
        </w:rPr>
        <w:t>cyano</w:t>
      </w:r>
      <w:proofErr w:type="spellEnd"/>
      <w:r w:rsidRPr="00C21BEF">
        <w:rPr>
          <w:rFonts w:ascii="Times New Roman" w:hAnsi="Times New Roman" w:cs="Times New Roman"/>
          <w:highlight w:val="yellow"/>
        </w:rPr>
        <w:t xml:space="preserve"> functionalities.</w:t>
      </w:r>
      <w:r w:rsidRPr="00C21BEF">
        <w:rPr>
          <w:rFonts w:ascii="Times New Roman" w:hAnsi="Times New Roman" w:cs="Times New Roman"/>
        </w:rPr>
        <w:t xml:space="preserve"> </w:t>
      </w:r>
      <w:r w:rsidRPr="00C21BEF">
        <w:rPr>
          <w:rFonts w:ascii="Times New Roman" w:hAnsi="Times New Roman" w:cs="Times New Roman"/>
          <w:highlight w:val="yellow"/>
        </w:rPr>
        <w:t>Their comparison therefore enables systematic evaluation of acceptor effects on LUMO stabilization, energy-gap modulation, and optical excitation</w:t>
      </w:r>
    </w:p>
    <w:p w14:paraId="1434B4D8" w14:textId="77777777" w:rsidR="00C21BEF" w:rsidRDefault="00C21BEF" w:rsidP="003E00D4">
      <w:pPr>
        <w:rPr>
          <w:rFonts w:ascii="Times New Roman" w:hAnsi="Times New Roman" w:cs="Times New Roman"/>
          <w:b/>
          <w:bCs/>
        </w:rPr>
      </w:pPr>
    </w:p>
    <w:p w14:paraId="5950709B" w14:textId="24EF87AD" w:rsidR="003E00D4" w:rsidRPr="00C21BEF" w:rsidRDefault="003E00D4" w:rsidP="003E00D4">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2</w:t>
      </w:r>
      <w:r w:rsidRPr="00C21BEF">
        <w:rPr>
          <w:rFonts w:ascii="Times New Roman" w:hAnsi="Times New Roman" w:cs="Times New Roman"/>
          <w:b/>
          <w:bCs/>
        </w:rPr>
        <w:t>:</w:t>
      </w:r>
      <w:r w:rsidRPr="00C21BEF">
        <w:rPr>
          <w:rFonts w:ascii="Times New Roman" w:hAnsi="Times New Roman" w:cs="Times New Roman"/>
        </w:rPr>
        <w:t xml:space="preserve">  </w:t>
      </w:r>
    </w:p>
    <w:p w14:paraId="632CDD26" w14:textId="77777777" w:rsidR="00175C53" w:rsidRPr="00C21BEF" w:rsidRDefault="00175C53" w:rsidP="003E00D4">
      <w:pPr>
        <w:rPr>
          <w:rFonts w:ascii="Times New Roman" w:hAnsi="Times New Roman" w:cs="Times New Roman"/>
        </w:rPr>
      </w:pPr>
      <w:r w:rsidRPr="00C21BEF">
        <w:rPr>
          <w:rFonts w:ascii="Times New Roman" w:hAnsi="Times New Roman" w:cs="Times New Roman"/>
        </w:rPr>
        <w:t xml:space="preserve">Clarify the number of excited states calculated in the TD-DFT procedure, as this detail is missing. </w:t>
      </w:r>
    </w:p>
    <w:p w14:paraId="7BC6888B" w14:textId="32B44D7C" w:rsidR="003E00D4" w:rsidRPr="00C21BEF" w:rsidRDefault="003E00D4" w:rsidP="003E00D4">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2</w:t>
      </w:r>
    </w:p>
    <w:p w14:paraId="70EE29CD" w14:textId="45912D1E" w:rsidR="003E00D4" w:rsidRPr="00C21BEF" w:rsidRDefault="009A31D9" w:rsidP="003E00D4">
      <w:pPr>
        <w:rPr>
          <w:rFonts w:ascii="Times New Roman" w:hAnsi="Times New Roman" w:cs="Times New Roman"/>
        </w:rPr>
      </w:pPr>
      <w:r w:rsidRPr="00C21BEF">
        <w:rPr>
          <w:rFonts w:ascii="Times New Roman" w:hAnsi="Times New Roman" w:cs="Times New Roman"/>
        </w:rPr>
        <w:t xml:space="preserve">The number of excited states included in the TD-DFT calculations has now been explicitly stated in Section 2.1. The lowest </w:t>
      </w:r>
      <w:r w:rsidR="00AC164B">
        <w:rPr>
          <w:rFonts w:ascii="Times New Roman" w:hAnsi="Times New Roman" w:cs="Times New Roman"/>
        </w:rPr>
        <w:t xml:space="preserve">100 </w:t>
      </w:r>
      <w:r w:rsidRPr="00C21BEF">
        <w:rPr>
          <w:rFonts w:ascii="Times New Roman" w:hAnsi="Times New Roman" w:cs="Times New Roman"/>
        </w:rPr>
        <w:t xml:space="preserve">excited states (NROOTS = </w:t>
      </w:r>
      <w:r w:rsidRPr="00C21BEF">
        <w:rPr>
          <w:rFonts w:ascii="Times New Roman" w:hAnsi="Times New Roman" w:cs="Times New Roman"/>
        </w:rPr>
        <w:t>100</w:t>
      </w:r>
      <w:r w:rsidRPr="00C21BEF">
        <w:rPr>
          <w:rFonts w:ascii="Times New Roman" w:hAnsi="Times New Roman" w:cs="Times New Roman"/>
        </w:rPr>
        <w:t>) were calculated for each molecule</w:t>
      </w:r>
      <w:r w:rsidRPr="00C21BEF">
        <w:rPr>
          <w:rFonts w:ascii="Times New Roman" w:hAnsi="Times New Roman" w:cs="Times New Roman"/>
        </w:rPr>
        <w:t>.</w:t>
      </w:r>
    </w:p>
    <w:p w14:paraId="4F5A5606" w14:textId="07C608B9" w:rsidR="009A31D9" w:rsidRPr="00C21BEF" w:rsidRDefault="009A31D9" w:rsidP="003E00D4">
      <w:pPr>
        <w:rPr>
          <w:rFonts w:ascii="Times New Roman" w:hAnsi="Times New Roman" w:cs="Times New Roman"/>
        </w:rPr>
      </w:pPr>
      <w:r w:rsidRPr="00C21BEF">
        <w:rPr>
          <w:rFonts w:ascii="Times New Roman" w:hAnsi="Times New Roman" w:cs="Times New Roman"/>
          <w:highlight w:val="yellow"/>
        </w:rPr>
        <w:t>“</w:t>
      </w:r>
      <w:r w:rsidR="00AC164B" w:rsidRPr="00AC164B">
        <w:rPr>
          <w:rFonts w:ascii="Times New Roman" w:hAnsi="Times New Roman" w:cs="Times New Roman"/>
          <w:highlight w:val="yellow"/>
        </w:rPr>
        <w:t>Excitation energies were calculated using the long-range-corrected CAM-B3LYP functional [21] with the def2-SVP basis set, including the lowest 100 excited-state roots to provide sufficient coverage of the simulated UV–</w:t>
      </w:r>
      <w:proofErr w:type="gramStart"/>
      <w:r w:rsidR="00AC164B" w:rsidRPr="00AC164B">
        <w:rPr>
          <w:rFonts w:ascii="Times New Roman" w:hAnsi="Times New Roman" w:cs="Times New Roman"/>
          <w:highlight w:val="yellow"/>
        </w:rPr>
        <w:t>Vis</w:t>
      </w:r>
      <w:proofErr w:type="gramEnd"/>
      <w:r w:rsidR="00AC164B" w:rsidRPr="00AC164B">
        <w:rPr>
          <w:rFonts w:ascii="Times New Roman" w:hAnsi="Times New Roman" w:cs="Times New Roman"/>
          <w:highlight w:val="yellow"/>
        </w:rPr>
        <w:t xml:space="preserve"> spectra.</w:t>
      </w:r>
      <w:r w:rsidR="003C5899" w:rsidRPr="00C21BEF">
        <w:rPr>
          <w:rFonts w:ascii="Times New Roman" w:hAnsi="Times New Roman" w:cs="Times New Roman"/>
        </w:rPr>
        <w:t>”</w:t>
      </w:r>
    </w:p>
    <w:p w14:paraId="0339AEFE" w14:textId="77777777" w:rsidR="009A31D9" w:rsidRPr="00C21BEF" w:rsidRDefault="009A31D9" w:rsidP="003E00D4">
      <w:pPr>
        <w:rPr>
          <w:rFonts w:ascii="Times New Roman" w:hAnsi="Times New Roman" w:cs="Times New Roman"/>
        </w:rPr>
      </w:pPr>
    </w:p>
    <w:p w14:paraId="4B2CDFE2" w14:textId="77777777" w:rsidR="00175C53" w:rsidRPr="00C21BEF" w:rsidRDefault="00175C53" w:rsidP="00175C53">
      <w:pPr>
        <w:rPr>
          <w:rFonts w:ascii="Times New Roman" w:hAnsi="Times New Roman" w:cs="Times New Roman"/>
        </w:rPr>
      </w:pPr>
      <w:r w:rsidRPr="00C21BEF">
        <w:rPr>
          <w:rFonts w:ascii="Times New Roman" w:hAnsi="Times New Roman" w:cs="Times New Roman"/>
        </w:rPr>
        <w:t xml:space="preserve">Minor Comments: </w:t>
      </w:r>
    </w:p>
    <w:p w14:paraId="23616D03" w14:textId="6B7F0418" w:rsidR="003E00D4" w:rsidRPr="00C21BEF" w:rsidRDefault="003E00D4" w:rsidP="003E00D4">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3</w:t>
      </w:r>
      <w:r w:rsidRPr="00C21BEF">
        <w:rPr>
          <w:rFonts w:ascii="Times New Roman" w:hAnsi="Times New Roman" w:cs="Times New Roman"/>
          <w:b/>
          <w:bCs/>
        </w:rPr>
        <w:t>:</w:t>
      </w:r>
      <w:r w:rsidRPr="00C21BEF">
        <w:rPr>
          <w:rFonts w:ascii="Times New Roman" w:hAnsi="Times New Roman" w:cs="Times New Roman"/>
        </w:rPr>
        <w:t xml:space="preserve">  </w:t>
      </w:r>
    </w:p>
    <w:p w14:paraId="1395BC38" w14:textId="77777777" w:rsidR="00175C53" w:rsidRPr="00C21BEF" w:rsidRDefault="00175C53" w:rsidP="003E00D4">
      <w:pPr>
        <w:rPr>
          <w:rFonts w:ascii="Times New Roman" w:hAnsi="Times New Roman" w:cs="Times New Roman"/>
        </w:rPr>
      </w:pPr>
      <w:r w:rsidRPr="00C21BEF">
        <w:rPr>
          <w:rFonts w:ascii="Times New Roman" w:hAnsi="Times New Roman" w:cs="Times New Roman"/>
        </w:rPr>
        <w:t xml:space="preserve">In Figure 4, ensure the numerical labels on the energy levels are perfectly aligned for readability. </w:t>
      </w:r>
    </w:p>
    <w:p w14:paraId="62D05833" w14:textId="0444CE38" w:rsidR="003E00D4" w:rsidRPr="00C21BEF" w:rsidRDefault="003E00D4" w:rsidP="003E00D4">
      <w:pPr>
        <w:rPr>
          <w:rFonts w:ascii="Times New Roman" w:hAnsi="Times New Roman" w:cs="Times New Roman"/>
          <w:b/>
          <w:bCs/>
        </w:rPr>
      </w:pPr>
      <w:r w:rsidRPr="00C21BEF">
        <w:rPr>
          <w:rFonts w:ascii="Times New Roman" w:hAnsi="Times New Roman" w:cs="Times New Roman"/>
          <w:b/>
          <w:bCs/>
        </w:rPr>
        <w:lastRenderedPageBreak/>
        <w:t>Response to Comment #</w:t>
      </w:r>
      <w:r w:rsidRPr="00C21BEF">
        <w:rPr>
          <w:rFonts w:ascii="Times New Roman" w:hAnsi="Times New Roman" w:cs="Times New Roman"/>
          <w:b/>
          <w:bCs/>
        </w:rPr>
        <w:t>3</w:t>
      </w:r>
    </w:p>
    <w:p w14:paraId="466B86EB" w14:textId="24DCE44B" w:rsidR="003C5899" w:rsidRDefault="003C5899" w:rsidP="003E00D4">
      <w:pPr>
        <w:rPr>
          <w:rFonts w:ascii="Times New Roman" w:hAnsi="Times New Roman" w:cs="Times New Roman"/>
        </w:rPr>
      </w:pPr>
      <w:r w:rsidRPr="00C21BEF">
        <w:rPr>
          <w:rFonts w:ascii="Times New Roman" w:hAnsi="Times New Roman" w:cs="Times New Roman"/>
        </w:rPr>
        <w:t>Figu</w:t>
      </w:r>
      <w:r w:rsidRPr="00C21BEF">
        <w:rPr>
          <w:rFonts w:ascii="Times New Roman" w:hAnsi="Times New Roman" w:cs="Times New Roman"/>
        </w:rPr>
        <w:t>re</w:t>
      </w:r>
      <w:r w:rsidRPr="00C21BEF">
        <w:rPr>
          <w:rFonts w:ascii="Times New Roman" w:hAnsi="Times New Roman" w:cs="Times New Roman"/>
        </w:rPr>
        <w:t xml:space="preserve"> 4 has been revised, and the numerical energy labels have been carefully realigned to improve readability</w:t>
      </w:r>
      <w:r w:rsidRPr="00C21BEF">
        <w:rPr>
          <w:rFonts w:ascii="Times New Roman" w:hAnsi="Times New Roman" w:cs="Times New Roman"/>
        </w:rPr>
        <w:t>.</w:t>
      </w:r>
    </w:p>
    <w:p w14:paraId="0ABDB50B" w14:textId="77777777" w:rsidR="00C21BEF" w:rsidRPr="00C21BEF" w:rsidRDefault="00C21BEF" w:rsidP="00C21BEF">
      <w:pPr>
        <w:jc w:val="center"/>
        <w:rPr>
          <w:rFonts w:ascii="Times New Roman" w:hAnsi="Times New Roman" w:cs="Times New Roman"/>
        </w:rPr>
      </w:pPr>
      <w:r w:rsidRPr="00C21BEF">
        <w:rPr>
          <w:rFonts w:ascii="Times New Roman" w:hAnsi="Times New Roman" w:cs="Times New Roman"/>
        </w:rPr>
        <w:drawing>
          <wp:inline distT="0" distB="0" distL="0" distR="0" wp14:anchorId="433C9CF0" wp14:editId="075D7550">
            <wp:extent cx="4392930" cy="2513965"/>
            <wp:effectExtent l="0" t="0" r="7620" b="635"/>
            <wp:docPr id="1591150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056537" name=""/>
                    <pic:cNvPicPr/>
                  </pic:nvPicPr>
                  <pic:blipFill>
                    <a:blip r:embed="rId5"/>
                    <a:stretch>
                      <a:fillRect/>
                    </a:stretch>
                  </pic:blipFill>
                  <pic:spPr>
                    <a:xfrm>
                      <a:off x="0" y="0"/>
                      <a:ext cx="4392930" cy="2513965"/>
                    </a:xfrm>
                    <a:prstGeom prst="rect">
                      <a:avLst/>
                    </a:prstGeom>
                  </pic:spPr>
                </pic:pic>
              </a:graphicData>
            </a:graphic>
          </wp:inline>
        </w:drawing>
      </w:r>
    </w:p>
    <w:p w14:paraId="1816F188" w14:textId="77777777" w:rsidR="00C21BEF" w:rsidRPr="00C21BEF" w:rsidRDefault="00C21BEF" w:rsidP="00C21BEF">
      <w:pPr>
        <w:rPr>
          <w:rFonts w:ascii="Times New Roman" w:hAnsi="Times New Roman" w:cs="Times New Roman"/>
        </w:rPr>
      </w:pPr>
      <w:r w:rsidRPr="00C21BEF">
        <w:rPr>
          <w:rFonts w:ascii="Times New Roman" w:hAnsi="Times New Roman" w:cs="Times New Roman"/>
        </w:rPr>
        <w:t xml:space="preserve">Fig 4. Frontier molecular orbital energy-level diagram of pristine </w:t>
      </w:r>
      <w:proofErr w:type="spellStart"/>
      <w:r w:rsidRPr="00C21BEF">
        <w:rPr>
          <w:rFonts w:ascii="Times New Roman" w:hAnsi="Times New Roman" w:cs="Times New Roman"/>
        </w:rPr>
        <w:t>galangin</w:t>
      </w:r>
      <w:proofErr w:type="spellEnd"/>
      <w:r w:rsidRPr="00C21BEF">
        <w:rPr>
          <w:rFonts w:ascii="Times New Roman" w:hAnsi="Times New Roman" w:cs="Times New Roman"/>
        </w:rPr>
        <w:t xml:space="preserve"> (G) and the designed </w:t>
      </w:r>
      <w:proofErr w:type="spellStart"/>
      <w:r w:rsidRPr="00C21BEF">
        <w:rPr>
          <w:rFonts w:ascii="Times New Roman" w:hAnsi="Times New Roman" w:cs="Times New Roman"/>
        </w:rPr>
        <w:t>galangin</w:t>
      </w:r>
      <w:proofErr w:type="spellEnd"/>
      <w:r w:rsidRPr="00C21BEF">
        <w:rPr>
          <w:rFonts w:ascii="Times New Roman" w:hAnsi="Times New Roman" w:cs="Times New Roman"/>
        </w:rPr>
        <w:t>-based sensitizers GFB, GFS, GTB, and GTS. The HOMO and LUMO levels are highlighted in red and blue, respectively, while the corresponding HOMO–LUMO energy gaps are indicated by the dashed lines.</w:t>
      </w:r>
    </w:p>
    <w:p w14:paraId="1F955D67" w14:textId="77777777" w:rsidR="00F63D2A" w:rsidRDefault="00F63D2A" w:rsidP="003E00D4">
      <w:pPr>
        <w:rPr>
          <w:rFonts w:ascii="Times New Roman" w:hAnsi="Times New Roman" w:cs="Times New Roman"/>
          <w:b/>
          <w:bCs/>
        </w:rPr>
      </w:pPr>
    </w:p>
    <w:p w14:paraId="4842D604" w14:textId="19A6FC3B" w:rsidR="003E00D4" w:rsidRPr="00C21BEF" w:rsidRDefault="003E00D4" w:rsidP="003E00D4">
      <w:pPr>
        <w:rPr>
          <w:rFonts w:ascii="Times New Roman" w:hAnsi="Times New Roman" w:cs="Times New Roman"/>
        </w:rPr>
      </w:pPr>
      <w:r w:rsidRPr="00C21BEF">
        <w:rPr>
          <w:rFonts w:ascii="Times New Roman" w:hAnsi="Times New Roman" w:cs="Times New Roman"/>
          <w:b/>
          <w:bCs/>
        </w:rPr>
        <w:t>Comment #</w:t>
      </w:r>
      <w:r w:rsidRPr="00C21BEF">
        <w:rPr>
          <w:rFonts w:ascii="Times New Roman" w:hAnsi="Times New Roman" w:cs="Times New Roman"/>
          <w:b/>
          <w:bCs/>
        </w:rPr>
        <w:t>4</w:t>
      </w:r>
      <w:r w:rsidRPr="00C21BEF">
        <w:rPr>
          <w:rFonts w:ascii="Times New Roman" w:hAnsi="Times New Roman" w:cs="Times New Roman"/>
          <w:b/>
          <w:bCs/>
        </w:rPr>
        <w:t>:</w:t>
      </w:r>
      <w:r w:rsidRPr="00C21BEF">
        <w:rPr>
          <w:rFonts w:ascii="Times New Roman" w:hAnsi="Times New Roman" w:cs="Times New Roman"/>
        </w:rPr>
        <w:t xml:space="preserve">  </w:t>
      </w:r>
    </w:p>
    <w:p w14:paraId="72625F05" w14:textId="77777777" w:rsidR="00175C53" w:rsidRPr="00C21BEF" w:rsidRDefault="00175C53" w:rsidP="003E00D4">
      <w:pPr>
        <w:rPr>
          <w:rFonts w:ascii="Times New Roman" w:hAnsi="Times New Roman" w:cs="Times New Roman"/>
        </w:rPr>
      </w:pPr>
      <w:r w:rsidRPr="00C21BEF">
        <w:rPr>
          <w:rFonts w:ascii="Times New Roman" w:hAnsi="Times New Roman" w:cs="Times New Roman"/>
        </w:rPr>
        <w:t>Briefly discuss if the def2-SVP basis set is sufficient or if polarization functions from a larger basis set might significantly alter the absolute energies.</w:t>
      </w:r>
    </w:p>
    <w:p w14:paraId="59C9BBFF" w14:textId="6C135AAF" w:rsidR="003E00D4" w:rsidRPr="00C21BEF" w:rsidRDefault="003E00D4" w:rsidP="003E00D4">
      <w:pPr>
        <w:rPr>
          <w:rFonts w:ascii="Times New Roman" w:hAnsi="Times New Roman" w:cs="Times New Roman"/>
          <w:b/>
          <w:bCs/>
        </w:rPr>
      </w:pPr>
      <w:r w:rsidRPr="00C21BEF">
        <w:rPr>
          <w:rFonts w:ascii="Times New Roman" w:hAnsi="Times New Roman" w:cs="Times New Roman"/>
          <w:b/>
          <w:bCs/>
        </w:rPr>
        <w:t>Response to Comment #</w:t>
      </w:r>
      <w:r w:rsidRPr="00C21BEF">
        <w:rPr>
          <w:rFonts w:ascii="Times New Roman" w:hAnsi="Times New Roman" w:cs="Times New Roman"/>
          <w:b/>
          <w:bCs/>
        </w:rPr>
        <w:t>4</w:t>
      </w:r>
    </w:p>
    <w:p w14:paraId="306E47A2" w14:textId="4FB23242" w:rsidR="00C21BEF" w:rsidRPr="00F63D2A" w:rsidRDefault="00F63D2A" w:rsidP="003C5899">
      <w:pPr>
        <w:rPr>
          <w:rFonts w:ascii="Times New Roman" w:hAnsi="Times New Roman" w:cs="Times New Roman"/>
        </w:rPr>
      </w:pPr>
      <w:r w:rsidRPr="00F63D2A">
        <w:rPr>
          <w:rFonts w:ascii="Times New Roman" w:hAnsi="Times New Roman" w:cs="Times New Roman"/>
        </w:rPr>
        <w:t>We thank the reviewer for this important comment. The def2-SVP basis set was selected as a computationally efficient double-ζ basis for the present organic sensitizers, which consist of main-group elements (C, H, N, O, and S). The def2-SVP basis already incorporates polarization functions and provides a reasonable balance between computational cost and accuracy for geometry optimization and comparative electronic-structure calculations.</w:t>
      </w:r>
      <w:r>
        <w:rPr>
          <w:rFonts w:ascii="Times New Roman" w:hAnsi="Times New Roman" w:cs="Times New Roman"/>
        </w:rPr>
        <w:t xml:space="preserve"> We have added the reason for using </w:t>
      </w:r>
      <w:r w:rsidRPr="00F63D2A">
        <w:rPr>
          <w:rFonts w:ascii="Times New Roman" w:hAnsi="Times New Roman" w:cs="Times New Roman"/>
        </w:rPr>
        <w:t>def2-SVP basis set</w:t>
      </w:r>
      <w:r>
        <w:rPr>
          <w:rFonts w:ascii="Times New Roman" w:hAnsi="Times New Roman" w:cs="Times New Roman"/>
        </w:rPr>
        <w:t xml:space="preserve"> as follows:</w:t>
      </w:r>
    </w:p>
    <w:p w14:paraId="5B8AE63E" w14:textId="276A348A" w:rsidR="003C5899" w:rsidRPr="00C21BEF" w:rsidRDefault="003C5899" w:rsidP="003C5899">
      <w:pPr>
        <w:rPr>
          <w:rFonts w:ascii="Times New Roman" w:hAnsi="Times New Roman" w:cs="Times New Roman"/>
        </w:rPr>
      </w:pPr>
      <w:r w:rsidRPr="00C21BEF">
        <w:rPr>
          <w:rFonts w:ascii="Times New Roman" w:hAnsi="Times New Roman" w:cs="Times New Roman"/>
          <w:highlight w:val="yellow"/>
        </w:rPr>
        <w:t>The def2-SVP basis set was considered appropriate for the present systems, which are composed predominantly of light main-group elements (C, H, N, O, and S), while providing a reasonable balance between computational accuracy and cost. Moreover, def2-SVP includes polarization functions and is suitable for geometry optimization and comparative electronic-structure analysis.</w:t>
      </w:r>
    </w:p>
    <w:p w14:paraId="4B1029F6" w14:textId="77777777" w:rsidR="00C270CB" w:rsidRPr="00C21BEF" w:rsidRDefault="00C270CB">
      <w:pPr>
        <w:rPr>
          <w:rFonts w:ascii="Times New Roman" w:hAnsi="Times New Roman" w:cs="Times New Roman"/>
        </w:rPr>
      </w:pPr>
    </w:p>
    <w:sectPr w:rsidR="00C270CB" w:rsidRPr="00C21B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91A7E"/>
    <w:multiLevelType w:val="multilevel"/>
    <w:tmpl w:val="2C6A6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EB5DF9"/>
    <w:multiLevelType w:val="hybridMultilevel"/>
    <w:tmpl w:val="4650EBCA"/>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73524CC"/>
    <w:multiLevelType w:val="hybridMultilevel"/>
    <w:tmpl w:val="A008F126"/>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745B20E2"/>
    <w:multiLevelType w:val="multilevel"/>
    <w:tmpl w:val="62723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7236819">
    <w:abstractNumId w:val="3"/>
  </w:num>
  <w:num w:numId="2" w16cid:durableId="588850294">
    <w:abstractNumId w:val="0"/>
  </w:num>
  <w:num w:numId="3" w16cid:durableId="1171481600">
    <w:abstractNumId w:val="1"/>
  </w:num>
  <w:num w:numId="4" w16cid:durableId="182866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53"/>
    <w:rsid w:val="00041BC4"/>
    <w:rsid w:val="00134E5D"/>
    <w:rsid w:val="00175C53"/>
    <w:rsid w:val="00247EDA"/>
    <w:rsid w:val="002906CD"/>
    <w:rsid w:val="002A1631"/>
    <w:rsid w:val="003405FC"/>
    <w:rsid w:val="003741A8"/>
    <w:rsid w:val="003A5D29"/>
    <w:rsid w:val="003C5899"/>
    <w:rsid w:val="003E00D4"/>
    <w:rsid w:val="004B70B0"/>
    <w:rsid w:val="005A147C"/>
    <w:rsid w:val="00674A8C"/>
    <w:rsid w:val="00871D9C"/>
    <w:rsid w:val="009A31D9"/>
    <w:rsid w:val="009C4DA8"/>
    <w:rsid w:val="00A3237B"/>
    <w:rsid w:val="00A86F51"/>
    <w:rsid w:val="00AC164B"/>
    <w:rsid w:val="00BE1B42"/>
    <w:rsid w:val="00C21BEF"/>
    <w:rsid w:val="00C270CB"/>
    <w:rsid w:val="00E3277A"/>
    <w:rsid w:val="00F63D2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BC35C"/>
  <w15:chartTrackingRefBased/>
  <w15:docId w15:val="{45959DF1-4C14-4F28-9918-7F0046FE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5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5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5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5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5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5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5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5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5C53"/>
    <w:rPr>
      <w:rFonts w:eastAsiaTheme="majorEastAsia" w:cstheme="majorBidi"/>
      <w:color w:val="272727" w:themeColor="text1" w:themeTint="D8"/>
    </w:rPr>
  </w:style>
  <w:style w:type="paragraph" w:styleId="Title">
    <w:name w:val="Title"/>
    <w:basedOn w:val="Normal"/>
    <w:next w:val="Normal"/>
    <w:link w:val="TitleChar"/>
    <w:uiPriority w:val="10"/>
    <w:qFormat/>
    <w:rsid w:val="00175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5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5C53"/>
    <w:pPr>
      <w:spacing w:before="160"/>
      <w:jc w:val="center"/>
    </w:pPr>
    <w:rPr>
      <w:i/>
      <w:iCs/>
      <w:color w:val="404040" w:themeColor="text1" w:themeTint="BF"/>
    </w:rPr>
  </w:style>
  <w:style w:type="character" w:customStyle="1" w:styleId="QuoteChar">
    <w:name w:val="Quote Char"/>
    <w:basedOn w:val="DefaultParagraphFont"/>
    <w:link w:val="Quote"/>
    <w:uiPriority w:val="29"/>
    <w:rsid w:val="00175C53"/>
    <w:rPr>
      <w:i/>
      <w:iCs/>
      <w:color w:val="404040" w:themeColor="text1" w:themeTint="BF"/>
    </w:rPr>
  </w:style>
  <w:style w:type="paragraph" w:styleId="ListParagraph">
    <w:name w:val="List Paragraph"/>
    <w:basedOn w:val="Normal"/>
    <w:uiPriority w:val="34"/>
    <w:qFormat/>
    <w:rsid w:val="00175C53"/>
    <w:pPr>
      <w:ind w:left="720"/>
      <w:contextualSpacing/>
    </w:pPr>
  </w:style>
  <w:style w:type="character" w:styleId="IntenseEmphasis">
    <w:name w:val="Intense Emphasis"/>
    <w:basedOn w:val="DefaultParagraphFont"/>
    <w:uiPriority w:val="21"/>
    <w:qFormat/>
    <w:rsid w:val="00175C53"/>
    <w:rPr>
      <w:i/>
      <w:iCs/>
      <w:color w:val="0F4761" w:themeColor="accent1" w:themeShade="BF"/>
    </w:rPr>
  </w:style>
  <w:style w:type="paragraph" w:styleId="IntenseQuote">
    <w:name w:val="Intense Quote"/>
    <w:basedOn w:val="Normal"/>
    <w:next w:val="Normal"/>
    <w:link w:val="IntenseQuoteChar"/>
    <w:uiPriority w:val="30"/>
    <w:qFormat/>
    <w:rsid w:val="00175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C53"/>
    <w:rPr>
      <w:i/>
      <w:iCs/>
      <w:color w:val="0F4761" w:themeColor="accent1" w:themeShade="BF"/>
    </w:rPr>
  </w:style>
  <w:style w:type="character" w:styleId="IntenseReference">
    <w:name w:val="Intense Reference"/>
    <w:basedOn w:val="DefaultParagraphFont"/>
    <w:uiPriority w:val="32"/>
    <w:qFormat/>
    <w:rsid w:val="00175C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480</TotalTime>
  <Pages>6</Pages>
  <Words>1591</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Faozan Ahmad</dc:creator>
  <cp:keywords/>
  <dc:description/>
  <cp:lastModifiedBy>Faozan Ahmad</cp:lastModifiedBy>
  <cp:revision>11</cp:revision>
  <cp:lastPrinted>2026-09-24T11:41:00Z</cp:lastPrinted>
  <dcterms:created xsi:type="dcterms:W3CDTF">2026-09-24T01:20:00Z</dcterms:created>
  <dcterms:modified xsi:type="dcterms:W3CDTF">2026-09-24T11:44:00Z</dcterms:modified>
</cp:coreProperties>
</file>