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089C60"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 to the Reviewers</w:t>
      </w:r>
    </w:p>
    <w:p w14:paraId="4F6411C6"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Dear Editor and Reviewers,</w:t>
      </w:r>
    </w:p>
    <w:p w14:paraId="4D0ABF5B" w14:textId="41242610"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Thank you for reviewing our manuscript and for your helpful comments. We have revised the manuscript to clarify the sensing mechanisms, explain the functions of different materials, and discuss practical challenges. We have also corrected the electrode dimensions and reorganized Section 2 so that each topic first introduces IDEs in general and then discusses the corresponding </w:t>
      </w:r>
      <w:proofErr w:type="spellStart"/>
      <w:r w:rsidRPr="005F3EE0">
        <w:rPr>
          <w:rFonts w:ascii="Times New Roman" w:hAnsi="Times New Roman" w:cs="Times New Roman"/>
          <w:sz w:val="20"/>
          <w:szCs w:val="20"/>
        </w:rPr>
        <w:t>AuIDTE</w:t>
      </w:r>
      <w:proofErr w:type="spellEnd"/>
      <w:r w:rsidRPr="005F3EE0">
        <w:rPr>
          <w:rFonts w:ascii="Times New Roman" w:hAnsi="Times New Roman" w:cs="Times New Roman"/>
          <w:sz w:val="20"/>
          <w:szCs w:val="20"/>
        </w:rPr>
        <w:t xml:space="preserve"> studies. A separate section on challenges and future perspectives has also been added.</w:t>
      </w:r>
      <w:r w:rsidR="00906E43">
        <w:rPr>
          <w:rFonts w:ascii="Times New Roman" w:hAnsi="Times New Roman" w:cs="Times New Roman"/>
          <w:sz w:val="20"/>
          <w:szCs w:val="20"/>
        </w:rPr>
        <w:t xml:space="preserve"> </w:t>
      </w:r>
      <w:proofErr w:type="gramStart"/>
      <w:r w:rsidR="00063243" w:rsidRPr="00063243">
        <w:rPr>
          <w:rFonts w:ascii="Times New Roman" w:hAnsi="Times New Roman" w:cs="Times New Roman"/>
          <w:sz w:val="20"/>
          <w:szCs w:val="20"/>
        </w:rPr>
        <w:t>We</w:t>
      </w:r>
      <w:proofErr w:type="gramEnd"/>
      <w:r w:rsidR="00063243" w:rsidRPr="00063243">
        <w:rPr>
          <w:rFonts w:ascii="Times New Roman" w:hAnsi="Times New Roman" w:cs="Times New Roman"/>
          <w:sz w:val="20"/>
          <w:szCs w:val="20"/>
        </w:rPr>
        <w:t xml:space="preserve"> have also added figures to help illustrate the sensing principles and surface modification strategies.</w:t>
      </w:r>
    </w:p>
    <w:p w14:paraId="305BEB83"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Our point-by-point responses are provided below. Changes are highlighted in yellow in the marked-up manuscript, and a clean version is also provided. All section and line numbers in our responses refer to the revised manuscript.</w:t>
      </w:r>
    </w:p>
    <w:p w14:paraId="5166D82E"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Reviewer #1</w:t>
      </w:r>
    </w:p>
    <w:p w14:paraId="71804383"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Comment:</w:t>
      </w:r>
    </w:p>
    <w:p w14:paraId="60AADA85"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This paper provides a clear overview of interdigitated electrode biosensor chip technology, with a focus on gold </w:t>
      </w:r>
      <w:proofErr w:type="spellStart"/>
      <w:r w:rsidRPr="005F3EE0">
        <w:rPr>
          <w:rFonts w:ascii="Times New Roman" w:hAnsi="Times New Roman" w:cs="Times New Roman"/>
          <w:sz w:val="20"/>
          <w:szCs w:val="20"/>
        </w:rPr>
        <w:t>tetraelectrodes</w:t>
      </w:r>
      <w:proofErr w:type="spellEnd"/>
      <w:r w:rsidRPr="005F3EE0">
        <w:rPr>
          <w:rFonts w:ascii="Times New Roman" w:hAnsi="Times New Roman" w:cs="Times New Roman"/>
          <w:sz w:val="20"/>
          <w:szCs w:val="20"/>
        </w:rPr>
        <w:t xml:space="preserve"> (</w:t>
      </w:r>
      <w:proofErr w:type="spellStart"/>
      <w:r w:rsidRPr="005F3EE0">
        <w:rPr>
          <w:rFonts w:ascii="Times New Roman" w:hAnsi="Times New Roman" w:cs="Times New Roman"/>
          <w:sz w:val="20"/>
          <w:szCs w:val="20"/>
        </w:rPr>
        <w:t>AuIDTE</w:t>
      </w:r>
      <w:proofErr w:type="spellEnd"/>
      <w:r w:rsidRPr="005F3EE0">
        <w:rPr>
          <w:rFonts w:ascii="Times New Roman" w:hAnsi="Times New Roman" w:cs="Times New Roman"/>
          <w:sz w:val="20"/>
          <w:szCs w:val="20"/>
        </w:rPr>
        <w:t>). The manuscript is well-structured, logical, and effectively synthesizes published literature to present a theoretical proof-of-concept for biomarker detection using voltammetry and EIS techniques.</w:t>
      </w:r>
    </w:p>
    <w:p w14:paraId="158E09BE"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Adding a brief discussion on practical sensing challenges, such as surface biofouling in real clinical/environmental samples and chip manufacturing reproducibility, would significantly strengthen the overall review.</w:t>
      </w:r>
    </w:p>
    <w:p w14:paraId="0518874F"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w:t>
      </w:r>
    </w:p>
    <w:p w14:paraId="190B878A"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Thank you for your positive assessment and helpful suggestion. We have added Section 3 to discuss practical challenges and future directions.</w:t>
      </w:r>
    </w:p>
    <w:p w14:paraId="6A5B888E"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Section 3.1 explains how proteins, cells, and other components in complex samples can accumulate on the electrode surface, hinder target binding or electron transfer, and affect the target and background signals. It also discusses blocking and antifouling treatments. We have expanded the discussion of manufacturing consistency, including control of electrode dimensions, surface residues, and surface modification, as well as standardized fabrication and quality control.</w:t>
      </w:r>
    </w:p>
    <w:p w14:paraId="54929E1B"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Section 3.2 focuses on </w:t>
      </w:r>
      <w:proofErr w:type="spellStart"/>
      <w:r w:rsidRPr="005F3EE0">
        <w:rPr>
          <w:rFonts w:ascii="Times New Roman" w:hAnsi="Times New Roman" w:cs="Times New Roman"/>
          <w:sz w:val="20"/>
          <w:szCs w:val="20"/>
        </w:rPr>
        <w:t>AuIDTE</w:t>
      </w:r>
      <w:proofErr w:type="spellEnd"/>
      <w:r w:rsidRPr="005F3EE0">
        <w:rPr>
          <w:rFonts w:ascii="Times New Roman" w:hAnsi="Times New Roman" w:cs="Times New Roman"/>
          <w:sz w:val="20"/>
          <w:szCs w:val="20"/>
        </w:rPr>
        <w:t>-based sensors. It discusses variation in functional layers, limitations of the reported sample tests, and the need to evaluate biofouling and performance across chip batches. We also emphasize the importance of further validation in real samples before practical use.</w:t>
      </w:r>
    </w:p>
    <w:p w14:paraId="17C84894"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Location in the revised manuscript:</w:t>
      </w:r>
      <w:r w:rsidRPr="005F3EE0">
        <w:rPr>
          <w:rFonts w:ascii="Times New Roman" w:hAnsi="Times New Roman" w:cs="Times New Roman"/>
          <w:sz w:val="20"/>
          <w:szCs w:val="20"/>
        </w:rPr>
        <w:t xml:space="preserve"> Sections 3.1 and 3.2, lines 398–420 and 424–453.</w:t>
      </w:r>
    </w:p>
    <w:p w14:paraId="79951647"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Reviewer #2</w:t>
      </w:r>
    </w:p>
    <w:p w14:paraId="67848AB1"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Comment 1:</w:t>
      </w:r>
    </w:p>
    <w:p w14:paraId="62C98D87"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Line 173: Please clarify if the clarify whether the increase in </w:t>
      </w:r>
      <w:proofErr w:type="spellStart"/>
      <w:r w:rsidRPr="005F3EE0">
        <w:rPr>
          <w:rFonts w:ascii="Times New Roman" w:hAnsi="Times New Roman" w:cs="Times New Roman"/>
          <w:sz w:val="20"/>
          <w:szCs w:val="20"/>
        </w:rPr>
        <w:t>Rct</w:t>
      </w:r>
      <w:proofErr w:type="spellEnd"/>
      <w:r w:rsidRPr="005F3EE0">
        <w:rPr>
          <w:rFonts w:ascii="Times New Roman" w:hAnsi="Times New Roman" w:cs="Times New Roman"/>
          <w:sz w:val="20"/>
          <w:szCs w:val="20"/>
        </w:rPr>
        <w:t xml:space="preserve"> is specific to blocking interactions or molecular binding.</w:t>
      </w:r>
    </w:p>
    <w:p w14:paraId="69475D17"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w:t>
      </w:r>
    </w:p>
    <w:p w14:paraId="71CB2E84"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Thank you for pointing out this ambiguity. We have clarified that target binding can hinder interfacial electron transfer and increase the charge transfer resistance (</w:t>
      </w:r>
      <w:proofErr w:type="spellStart"/>
      <w:r w:rsidRPr="005F3EE0">
        <w:rPr>
          <w:rFonts w:ascii="Times New Roman" w:hAnsi="Times New Roman" w:cs="Times New Roman"/>
          <w:sz w:val="20"/>
          <w:szCs w:val="20"/>
        </w:rPr>
        <w:t>Rct</w:t>
      </w:r>
      <w:proofErr w:type="spellEnd"/>
      <w:r w:rsidRPr="005F3EE0">
        <w:rPr>
          <w:rFonts w:ascii="Times New Roman" w:hAnsi="Times New Roman" w:cs="Times New Roman"/>
          <w:sz w:val="20"/>
          <w:szCs w:val="20"/>
        </w:rPr>
        <w:t>). However, this increase is not specific to target binding. Blocking layers and nonspecific adsorption can also increase Rct.</w:t>
      </w:r>
    </w:p>
    <w:p w14:paraId="1AC48520"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The revised text therefore states that an increase in </w:t>
      </w:r>
      <w:proofErr w:type="spellStart"/>
      <w:r w:rsidRPr="005F3EE0">
        <w:rPr>
          <w:rFonts w:ascii="Times New Roman" w:hAnsi="Times New Roman" w:cs="Times New Roman"/>
          <w:sz w:val="20"/>
          <w:szCs w:val="20"/>
        </w:rPr>
        <w:t>Rct</w:t>
      </w:r>
      <w:proofErr w:type="spellEnd"/>
      <w:r w:rsidRPr="005F3EE0">
        <w:rPr>
          <w:rFonts w:ascii="Times New Roman" w:hAnsi="Times New Roman" w:cs="Times New Roman"/>
          <w:sz w:val="20"/>
          <w:szCs w:val="20"/>
        </w:rPr>
        <w:t xml:space="preserve"> alone cannot demonstrate specific target binding. This clarification distinguishes the electrical response from the evidence needed to establish specific recognition.</w:t>
      </w:r>
    </w:p>
    <w:p w14:paraId="0033EA2E"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Location in the revised manuscript:</w:t>
      </w:r>
      <w:r w:rsidRPr="005F3EE0">
        <w:rPr>
          <w:rFonts w:ascii="Times New Roman" w:hAnsi="Times New Roman" w:cs="Times New Roman"/>
          <w:sz w:val="20"/>
          <w:szCs w:val="20"/>
        </w:rPr>
        <w:t xml:space="preserve"> Section 2.3.1, lines 180–186.</w:t>
      </w:r>
    </w:p>
    <w:p w14:paraId="62AB9A1C"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lastRenderedPageBreak/>
        <w:t>Comment 2:</w:t>
      </w:r>
    </w:p>
    <w:p w14:paraId="6C44153D"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Line 265: Please include the functional elements of different materials on IDE.</w:t>
      </w:r>
    </w:p>
    <w:p w14:paraId="0AEFB10F"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w:t>
      </w:r>
    </w:p>
    <w:p w14:paraId="28685582"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Thank you for this suggestion. We have expanded the descriptions of the functions of different materials in IDE biosensors.</w:t>
      </w:r>
    </w:p>
    <w:p w14:paraId="45A51386"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Section 2.2.2 explains that gold provides electrical conduction and a surface for biomolecule immobilization, while glass provides mechanical support and electrical insulation. Sections 2.4.1 and 2.4.2 describe how surface linkers and functional layers support the attachment of recognition molecules. These sections also explain the roles of antibodies and aptamers in target recognition, graphene-based channels in field-effect sensing, and blocking agents in reducing nonspecific adsorption.</w:t>
      </w:r>
    </w:p>
    <w:p w14:paraId="68EAD777"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These additions connect the materials used in each sensor with their roles in interface construction and detection.</w:t>
      </w:r>
    </w:p>
    <w:p w14:paraId="1458DDA1"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Location in the revised manuscript:</w:t>
      </w:r>
      <w:r w:rsidRPr="005F3EE0">
        <w:rPr>
          <w:rFonts w:ascii="Times New Roman" w:hAnsi="Times New Roman" w:cs="Times New Roman"/>
          <w:sz w:val="20"/>
          <w:szCs w:val="20"/>
        </w:rPr>
        <w:t xml:space="preserve"> Section 2.2.2, lines 135–144; Section 2.4.1, lines 230–243; and Section 2.4.2, lines 266–288.</w:t>
      </w:r>
    </w:p>
    <w:p w14:paraId="303B2475"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Comment 3:</w:t>
      </w:r>
    </w:p>
    <w:p w14:paraId="67F27478" w14:textId="7B9EBC52"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Line 354: Briefly explain the role and mechanism of each </w:t>
      </w:r>
      <w:r w:rsidR="006D48BF" w:rsidRPr="005F3EE0">
        <w:rPr>
          <w:rFonts w:ascii="Times New Roman" w:hAnsi="Times New Roman" w:cs="Times New Roman"/>
          <w:sz w:val="20"/>
          <w:szCs w:val="20"/>
        </w:rPr>
        <w:t>material</w:t>
      </w:r>
      <w:r w:rsidRPr="005F3EE0">
        <w:rPr>
          <w:rFonts w:ascii="Times New Roman" w:hAnsi="Times New Roman" w:cs="Times New Roman"/>
          <w:sz w:val="20"/>
          <w:szCs w:val="20"/>
        </w:rPr>
        <w:t xml:space="preserve"> in enhancing the sensitivity of IDE.</w:t>
      </w:r>
    </w:p>
    <w:p w14:paraId="5B6B02DF"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w:t>
      </w:r>
    </w:p>
    <w:p w14:paraId="335A18B4"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Thank you for this helpful comment. We have expanded Section 2.5.2 to explain the factors that may contribute to the sensitivity reported in the reviewed studies.</w:t>
      </w:r>
    </w:p>
    <w:p w14:paraId="22727640"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For the antibody-based </w:t>
      </w:r>
      <w:proofErr w:type="spellStart"/>
      <w:r w:rsidRPr="005F3EE0">
        <w:rPr>
          <w:rFonts w:ascii="Times New Roman" w:hAnsi="Times New Roman" w:cs="Times New Roman"/>
          <w:sz w:val="20"/>
          <w:szCs w:val="20"/>
        </w:rPr>
        <w:t>voltammetric</w:t>
      </w:r>
      <w:proofErr w:type="spellEnd"/>
      <w:r w:rsidRPr="005F3EE0">
        <w:rPr>
          <w:rFonts w:ascii="Times New Roman" w:hAnsi="Times New Roman" w:cs="Times New Roman"/>
          <w:sz w:val="20"/>
          <w:szCs w:val="20"/>
        </w:rPr>
        <w:t xml:space="preserve"> sensor, we describe how diluted sulfuric acid pretreatment lowers </w:t>
      </w:r>
      <w:proofErr w:type="spellStart"/>
      <w:r w:rsidRPr="005F3EE0">
        <w:rPr>
          <w:rFonts w:ascii="Times New Roman" w:hAnsi="Times New Roman" w:cs="Times New Roman"/>
          <w:sz w:val="20"/>
          <w:szCs w:val="20"/>
        </w:rPr>
        <w:t>Rct</w:t>
      </w:r>
      <w:proofErr w:type="spellEnd"/>
      <w:r w:rsidRPr="005F3EE0">
        <w:rPr>
          <w:rFonts w:ascii="Times New Roman" w:hAnsi="Times New Roman" w:cs="Times New Roman"/>
          <w:sz w:val="20"/>
          <w:szCs w:val="20"/>
        </w:rPr>
        <w:t xml:space="preserve"> and improves interfacial electron transfer. A larger available surface area can also accommodate more antibody probes and increase opportunities for target capture. We separately explain that DPV reduces the contribution of background current, making weak signals easier to distinguish.</w:t>
      </w:r>
    </w:p>
    <w:p w14:paraId="1C2F4C52"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For the EIS sensor, we discuss the possible contributions of the local electric field associated with the interdigitated structure and the interfacial changes caused by target binding. For the graphene-based sensors, we explain how </w:t>
      </w:r>
      <w:proofErr w:type="spellStart"/>
      <w:r w:rsidRPr="005F3EE0">
        <w:rPr>
          <w:rFonts w:ascii="Times New Roman" w:hAnsi="Times New Roman" w:cs="Times New Roman"/>
          <w:sz w:val="20"/>
          <w:szCs w:val="20"/>
        </w:rPr>
        <w:t>rGO</w:t>
      </w:r>
      <w:proofErr w:type="spellEnd"/>
      <w:r w:rsidRPr="005F3EE0">
        <w:rPr>
          <w:rFonts w:ascii="Times New Roman" w:hAnsi="Times New Roman" w:cs="Times New Roman"/>
          <w:sz w:val="20"/>
          <w:szCs w:val="20"/>
        </w:rPr>
        <w:t xml:space="preserve"> surface roughness and charge screening can affect the channel response. We also include the reported comparison between </w:t>
      </w:r>
      <w:proofErr w:type="spellStart"/>
      <w:r w:rsidRPr="005F3EE0">
        <w:rPr>
          <w:rFonts w:ascii="Times New Roman" w:hAnsi="Times New Roman" w:cs="Times New Roman"/>
          <w:sz w:val="20"/>
          <w:szCs w:val="20"/>
        </w:rPr>
        <w:t>rGO</w:t>
      </w:r>
      <w:proofErr w:type="spellEnd"/>
      <w:r w:rsidRPr="005F3EE0">
        <w:rPr>
          <w:rFonts w:ascii="Times New Roman" w:hAnsi="Times New Roman" w:cs="Times New Roman"/>
          <w:sz w:val="20"/>
          <w:szCs w:val="20"/>
        </w:rPr>
        <w:t xml:space="preserve"> and CVD graphene channels, addressing sensitivity and variation in sensor parameters.</w:t>
      </w:r>
    </w:p>
    <w:p w14:paraId="5D8F9BD0"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We have used cautious wording where these mechanisms represent explanations proposed in the reviewed studies rather than independently established contributions.</w:t>
      </w:r>
    </w:p>
    <w:p w14:paraId="695952FA"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Location in the revised manuscript:</w:t>
      </w:r>
      <w:r w:rsidRPr="005F3EE0">
        <w:rPr>
          <w:rFonts w:ascii="Times New Roman" w:hAnsi="Times New Roman" w:cs="Times New Roman"/>
          <w:sz w:val="20"/>
          <w:szCs w:val="20"/>
        </w:rPr>
        <w:t xml:space="preserve"> Section 2.5.2, lines 318–323, 329–333, and 339–347.</w:t>
      </w:r>
    </w:p>
    <w:p w14:paraId="22D1278D"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Comment 4:</w:t>
      </w:r>
    </w:p>
    <w:p w14:paraId="4CE700D2"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Line 376: “line width and space between the lines 10 m” seem incorrect. Please revise.</w:t>
      </w:r>
    </w:p>
    <w:p w14:paraId="551765C2"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Response:</w:t>
      </w:r>
    </w:p>
    <w:p w14:paraId="7DA7ABC6"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Thank you for identifying this unit error. We have corrected “10 m” to “10 </w:t>
      </w:r>
      <w:proofErr w:type="spellStart"/>
      <w:r w:rsidRPr="005F3EE0">
        <w:rPr>
          <w:rFonts w:ascii="Times New Roman" w:hAnsi="Times New Roman" w:cs="Times New Roman"/>
          <w:sz w:val="20"/>
          <w:szCs w:val="20"/>
        </w:rPr>
        <w:t>μm</w:t>
      </w:r>
      <w:proofErr w:type="spellEnd"/>
      <w:r w:rsidRPr="005F3EE0">
        <w:rPr>
          <w:rFonts w:ascii="Times New Roman" w:hAnsi="Times New Roman" w:cs="Times New Roman"/>
          <w:sz w:val="20"/>
          <w:szCs w:val="20"/>
        </w:rPr>
        <w:t xml:space="preserve">” and clarified that both the electrode finger width and the gap are 10 </w:t>
      </w:r>
      <w:proofErr w:type="spellStart"/>
      <w:r w:rsidRPr="005F3EE0">
        <w:rPr>
          <w:rFonts w:ascii="Times New Roman" w:hAnsi="Times New Roman" w:cs="Times New Roman"/>
          <w:sz w:val="20"/>
          <w:szCs w:val="20"/>
        </w:rPr>
        <w:t>μm</w:t>
      </w:r>
      <w:proofErr w:type="spellEnd"/>
      <w:r w:rsidRPr="005F3EE0">
        <w:rPr>
          <w:rFonts w:ascii="Times New Roman" w:hAnsi="Times New Roman" w:cs="Times New Roman"/>
          <w:sz w:val="20"/>
          <w:szCs w:val="20"/>
        </w:rPr>
        <w:t>. The revised sentence reads:</w:t>
      </w:r>
    </w:p>
    <w:p w14:paraId="2475C524"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“The finger width and gap are both 10 </w:t>
      </w:r>
      <w:proofErr w:type="spellStart"/>
      <w:r w:rsidRPr="005F3EE0">
        <w:rPr>
          <w:rFonts w:ascii="Times New Roman" w:hAnsi="Times New Roman" w:cs="Times New Roman"/>
          <w:sz w:val="20"/>
          <w:szCs w:val="20"/>
        </w:rPr>
        <w:t>μm</w:t>
      </w:r>
      <w:proofErr w:type="spellEnd"/>
      <w:r w:rsidRPr="005F3EE0">
        <w:rPr>
          <w:rFonts w:ascii="Times New Roman" w:hAnsi="Times New Roman" w:cs="Times New Roman"/>
          <w:sz w:val="20"/>
          <w:szCs w:val="20"/>
        </w:rPr>
        <w:t>, and the number of interdigitated electrode fingers is 52 pairs.”</w:t>
      </w:r>
    </w:p>
    <w:p w14:paraId="5518B372"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 xml:space="preserve">This information is now presented in the section describing the structural features of </w:t>
      </w:r>
      <w:proofErr w:type="spellStart"/>
      <w:r w:rsidRPr="005F3EE0">
        <w:rPr>
          <w:rFonts w:ascii="Times New Roman" w:hAnsi="Times New Roman" w:cs="Times New Roman"/>
          <w:sz w:val="20"/>
          <w:szCs w:val="20"/>
        </w:rPr>
        <w:t>AuIDTEs</w:t>
      </w:r>
      <w:proofErr w:type="spellEnd"/>
      <w:r w:rsidRPr="005F3EE0">
        <w:rPr>
          <w:rFonts w:ascii="Times New Roman" w:hAnsi="Times New Roman" w:cs="Times New Roman"/>
          <w:sz w:val="20"/>
          <w:szCs w:val="20"/>
        </w:rPr>
        <w:t>.</w:t>
      </w:r>
    </w:p>
    <w:p w14:paraId="2FA8ED30"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b/>
          <w:bCs/>
          <w:sz w:val="20"/>
          <w:szCs w:val="20"/>
        </w:rPr>
        <w:t>Location in the revised manuscript:</w:t>
      </w:r>
      <w:r w:rsidRPr="005F3EE0">
        <w:rPr>
          <w:rFonts w:ascii="Times New Roman" w:hAnsi="Times New Roman" w:cs="Times New Roman"/>
          <w:sz w:val="20"/>
          <w:szCs w:val="20"/>
        </w:rPr>
        <w:t xml:space="preserve"> Section 2.1.2, lines 102–103.</w:t>
      </w:r>
    </w:p>
    <w:p w14:paraId="7EA01CEE"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We thank the editor and reviewers again for their time and constructive comments. Their suggestions have helped us improve the clarity and completeness of the manuscript.</w:t>
      </w:r>
    </w:p>
    <w:p w14:paraId="5F82D623" w14:textId="77777777" w:rsidR="005F3EE0" w:rsidRPr="005F3EE0" w:rsidRDefault="005F3EE0" w:rsidP="005F3EE0">
      <w:pPr>
        <w:rPr>
          <w:rFonts w:ascii="Times New Roman" w:hAnsi="Times New Roman" w:cs="Times New Roman"/>
          <w:sz w:val="20"/>
          <w:szCs w:val="20"/>
        </w:rPr>
      </w:pPr>
      <w:r w:rsidRPr="005F3EE0">
        <w:rPr>
          <w:rFonts w:ascii="Times New Roman" w:hAnsi="Times New Roman" w:cs="Times New Roman"/>
          <w:sz w:val="20"/>
          <w:szCs w:val="20"/>
        </w:rPr>
        <w:t>Sincerely,</w:t>
      </w:r>
      <w:r w:rsidRPr="005F3EE0">
        <w:rPr>
          <w:rFonts w:ascii="Times New Roman" w:hAnsi="Times New Roman" w:cs="Times New Roman"/>
          <w:sz w:val="20"/>
          <w:szCs w:val="20"/>
        </w:rPr>
        <w:br/>
        <w:t>The Authors</w:t>
      </w:r>
    </w:p>
    <w:p w14:paraId="5233A9D3" w14:textId="77777777" w:rsidR="008C5587" w:rsidRPr="005F3EE0" w:rsidRDefault="008C5587">
      <w:pPr>
        <w:rPr>
          <w:rFonts w:ascii="Times New Roman" w:hAnsi="Times New Roman" w:cs="Times New Roman"/>
          <w:sz w:val="20"/>
          <w:szCs w:val="20"/>
        </w:rPr>
      </w:pPr>
    </w:p>
    <w:sectPr w:rsidR="008C5587" w:rsidRPr="005F3E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08549A" w14:textId="77777777" w:rsidR="00E82208" w:rsidRDefault="00E82208" w:rsidP="005F3EE0">
      <w:r>
        <w:separator/>
      </w:r>
    </w:p>
  </w:endnote>
  <w:endnote w:type="continuationSeparator" w:id="0">
    <w:p w14:paraId="17E8D53B" w14:textId="77777777" w:rsidR="00E82208" w:rsidRDefault="00E82208" w:rsidP="005F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89BD31" w14:textId="77777777" w:rsidR="00E82208" w:rsidRDefault="00E82208" w:rsidP="005F3EE0">
      <w:r>
        <w:separator/>
      </w:r>
    </w:p>
  </w:footnote>
  <w:footnote w:type="continuationSeparator" w:id="0">
    <w:p w14:paraId="5FFCF371" w14:textId="77777777" w:rsidR="00E82208" w:rsidRDefault="00E82208" w:rsidP="005F3EE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C50"/>
    <w:rsid w:val="00063243"/>
    <w:rsid w:val="00065C50"/>
    <w:rsid w:val="005F3EE0"/>
    <w:rsid w:val="00633C18"/>
    <w:rsid w:val="006D48BF"/>
    <w:rsid w:val="008C5587"/>
    <w:rsid w:val="00906E43"/>
    <w:rsid w:val="00B326EC"/>
    <w:rsid w:val="00C236EA"/>
    <w:rsid w:val="00C34F93"/>
    <w:rsid w:val="00E82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BE187"/>
  <w15:chartTrackingRefBased/>
  <w15:docId w15:val="{E3B66A99-9B13-41D7-AABA-30CDB40B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065C5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065C5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065C5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065C50"/>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065C50"/>
    <w:pPr>
      <w:keepNext/>
      <w:keepLines/>
      <w:spacing w:before="80" w:after="40"/>
      <w:outlineLvl w:val="4"/>
    </w:pPr>
    <w:rPr>
      <w:rFonts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065C50"/>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065C50"/>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65C50"/>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65C5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C50"/>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065C50"/>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065C50"/>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065C50"/>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065C50"/>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065C50"/>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065C50"/>
    <w:rPr>
      <w:rFonts w:cstheme="majorBidi"/>
      <w:b/>
      <w:bCs/>
      <w:color w:val="595959" w:themeColor="text1" w:themeTint="A6"/>
    </w:rPr>
  </w:style>
  <w:style w:type="character" w:customStyle="1" w:styleId="Heading8Char">
    <w:name w:val="Heading 8 Char"/>
    <w:basedOn w:val="DefaultParagraphFont"/>
    <w:link w:val="Heading8"/>
    <w:uiPriority w:val="9"/>
    <w:semiHidden/>
    <w:rsid w:val="00065C50"/>
    <w:rPr>
      <w:rFonts w:cstheme="majorBidi"/>
      <w:color w:val="595959" w:themeColor="text1" w:themeTint="A6"/>
    </w:rPr>
  </w:style>
  <w:style w:type="character" w:customStyle="1" w:styleId="Heading9Char">
    <w:name w:val="Heading 9 Char"/>
    <w:basedOn w:val="DefaultParagraphFont"/>
    <w:link w:val="Heading9"/>
    <w:uiPriority w:val="9"/>
    <w:semiHidden/>
    <w:rsid w:val="00065C50"/>
    <w:rPr>
      <w:rFonts w:eastAsiaTheme="majorEastAsia" w:cstheme="majorBidi"/>
      <w:color w:val="595959" w:themeColor="text1" w:themeTint="A6"/>
    </w:rPr>
  </w:style>
  <w:style w:type="paragraph" w:styleId="Title">
    <w:name w:val="Title"/>
    <w:basedOn w:val="Normal"/>
    <w:next w:val="Normal"/>
    <w:link w:val="TitleChar"/>
    <w:uiPriority w:val="10"/>
    <w:qFormat/>
    <w:rsid w:val="00065C50"/>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C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C5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65C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5C50"/>
    <w:rPr>
      <w:i/>
      <w:iCs/>
      <w:color w:val="404040" w:themeColor="text1" w:themeTint="BF"/>
    </w:rPr>
  </w:style>
  <w:style w:type="paragraph" w:styleId="ListParagraph">
    <w:name w:val="List Paragraph"/>
    <w:basedOn w:val="Normal"/>
    <w:uiPriority w:val="34"/>
    <w:qFormat/>
    <w:rsid w:val="00065C50"/>
    <w:pPr>
      <w:ind w:left="720"/>
      <w:contextualSpacing/>
    </w:pPr>
  </w:style>
  <w:style w:type="character" w:styleId="IntenseEmphasis">
    <w:name w:val="Intense Emphasis"/>
    <w:basedOn w:val="DefaultParagraphFont"/>
    <w:uiPriority w:val="21"/>
    <w:qFormat/>
    <w:rsid w:val="00065C50"/>
    <w:rPr>
      <w:i/>
      <w:iCs/>
      <w:color w:val="2F5496" w:themeColor="accent1" w:themeShade="BF"/>
    </w:rPr>
  </w:style>
  <w:style w:type="paragraph" w:styleId="IntenseQuote">
    <w:name w:val="Intense Quote"/>
    <w:basedOn w:val="Normal"/>
    <w:next w:val="Normal"/>
    <w:link w:val="IntenseQuoteChar"/>
    <w:uiPriority w:val="30"/>
    <w:qFormat/>
    <w:rsid w:val="00065C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5C50"/>
    <w:rPr>
      <w:i/>
      <w:iCs/>
      <w:color w:val="2F5496" w:themeColor="accent1" w:themeShade="BF"/>
    </w:rPr>
  </w:style>
  <w:style w:type="character" w:styleId="IntenseReference">
    <w:name w:val="Intense Reference"/>
    <w:basedOn w:val="DefaultParagraphFont"/>
    <w:uiPriority w:val="32"/>
    <w:qFormat/>
    <w:rsid w:val="00065C50"/>
    <w:rPr>
      <w:b/>
      <w:bCs/>
      <w:smallCaps/>
      <w:color w:val="2F5496" w:themeColor="accent1" w:themeShade="BF"/>
      <w:spacing w:val="5"/>
    </w:rPr>
  </w:style>
  <w:style w:type="paragraph" w:styleId="Header">
    <w:name w:val="header"/>
    <w:basedOn w:val="Normal"/>
    <w:link w:val="HeaderChar"/>
    <w:uiPriority w:val="99"/>
    <w:unhideWhenUsed/>
    <w:rsid w:val="005F3EE0"/>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F3EE0"/>
    <w:rPr>
      <w:sz w:val="18"/>
      <w:szCs w:val="18"/>
    </w:rPr>
  </w:style>
  <w:style w:type="paragraph" w:styleId="Footer">
    <w:name w:val="footer"/>
    <w:basedOn w:val="Normal"/>
    <w:link w:val="FooterChar"/>
    <w:uiPriority w:val="99"/>
    <w:unhideWhenUsed/>
    <w:rsid w:val="005F3EE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F3EE0"/>
    <w:rPr>
      <w:sz w:val="18"/>
      <w:szCs w:val="18"/>
    </w:rPr>
  </w:style>
  <w:style w:type="paragraph" w:styleId="NormalWeb">
    <w:name w:val="Normal (Web)"/>
    <w:basedOn w:val="Normal"/>
    <w:uiPriority w:val="99"/>
    <w:semiHidden/>
    <w:unhideWhenUsed/>
    <w:rsid w:val="000632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姣姣 于</dc:creator>
  <cp:keywords/>
  <dc:description/>
  <cp:lastModifiedBy>SUBASH CHANDRA BOSE GOPINATH</cp:lastModifiedBy>
  <cp:revision>15</cp:revision>
  <dcterms:created xsi:type="dcterms:W3CDTF">2026-10-07T18:49:00Z</dcterms:created>
  <dcterms:modified xsi:type="dcterms:W3CDTF">2026-10-08T09:28:00Z</dcterms:modified>
</cp:coreProperties>
</file>