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FD82" w14:textId="6A946F22" w:rsidR="00EA3F4B" w:rsidRPr="005B2FA1" w:rsidRDefault="00E01073">
      <w:pPr>
        <w:pStyle w:val="StyleTitleLeft005cm"/>
        <w:rPr>
          <w:rFonts w:cs="Times"/>
        </w:rPr>
      </w:pPr>
      <w:r w:rsidRPr="005B2FA1">
        <w:rPr>
          <w:rFonts w:cs="Times"/>
          <w:noProof/>
          <w:lang w:val="en-MY" w:eastAsia="en-MY"/>
        </w:rPr>
        <mc:AlternateContent>
          <mc:Choice Requires="wps">
            <w:drawing>
              <wp:anchor distT="0" distB="0" distL="114300" distR="114300" simplePos="0" relativeHeight="251657216" behindDoc="0" locked="0" layoutInCell="1" allowOverlap="1" wp14:anchorId="3A45D3FE" wp14:editId="57E6D290">
                <wp:simplePos x="0" y="0"/>
                <wp:positionH relativeFrom="column">
                  <wp:posOffset>-9525</wp:posOffset>
                </wp:positionH>
                <wp:positionV relativeFrom="paragraph">
                  <wp:posOffset>-324485</wp:posOffset>
                </wp:positionV>
                <wp:extent cx="1828800" cy="1828800"/>
                <wp:effectExtent l="0" t="0" r="0" b="1905"/>
                <wp:wrapNone/>
                <wp:docPr id="614523486" name="Text Box 61452348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solidFill>
                        <a:ln>
                          <a:noFill/>
                        </a:ln>
                        <a:effectLst/>
                      </wps:spPr>
                      <wps:txbx>
                        <w:txbxContent>
                          <w:p w14:paraId="605284F2" w14:textId="77777777" w:rsidR="00E01073" w:rsidRPr="0079717D" w:rsidRDefault="00E01073" w:rsidP="00E01073">
                            <w:pPr>
                              <w:pStyle w:val="Header"/>
                              <w:rPr>
                                <w:rFont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79717D">
                              <w:rPr>
                                <w:rFont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w14:anchorId="3A45D3FE" id="_x0000_t202" coordsize="21600,21600" o:spt="202" path="m,l,21600r21600,l21600,xe">
                <v:stroke joinstyle="miter"/>
                <v:path gradientshapeok="t" o:connecttype="rect"/>
              </v:shapetype>
              <v:shape id="Text Box 614523486" o:spid="_x0000_s1026" type="#_x0000_t202" style="position:absolute;left:0;text-align:left;margin-left:-.75pt;margin-top:-25.5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" fillcolor="black [3213]" stroked="f">
                <v:textbox style="mso-fit-shape-to-text:t">
                  <w:txbxContent>
                    <w:p w14:paraId="605284F2" w14:textId="77777777" w:rsidR="00E01073" w:rsidRPr="0079717D" w:rsidRDefault="00E01073" w:rsidP="00E01073">
                      <w:pPr>
                        <w:pStyle w:val="Header"/>
                        <w:rPr>
                          <w:rFont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79717D">
                        <w:rPr>
                          <w:rFont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v:textbox>
              </v:shape>
            </w:pict>
          </mc:Fallback>
        </mc:AlternateContent>
      </w:r>
      <w:r w:rsidR="002E2D6E" w:rsidRPr="005B2FA1">
        <w:rPr>
          <w:rFonts w:cs="Times"/>
        </w:rPr>
        <w:t>Reading in Focus: Understanding ASD Reading Performance through Pupillometry and Cognitive Load.</w:t>
      </w:r>
    </w:p>
    <w:p w14:paraId="7D3DD094" w14:textId="1803A779" w:rsidR="00FB7DA1" w:rsidRPr="005B2FA1" w:rsidRDefault="00672A84" w:rsidP="00FB7DA1">
      <w:pPr>
        <w:spacing w:after="240" w:line="259" w:lineRule="auto"/>
        <w:ind w:left="1418"/>
        <w:rPr>
          <w:rFonts w:eastAsia="Aptos" w:cs="Times"/>
          <w:b/>
          <w:bCs/>
          <w:kern w:val="2"/>
          <w:szCs w:val="22"/>
          <w14:ligatures w14:val="standardContextual"/>
        </w:rPr>
      </w:pPr>
      <w:r w:rsidRPr="005B2FA1">
        <w:rPr>
          <w:rFonts w:eastAsia="Aptos" w:cs="Times"/>
          <w:b/>
          <w:bCs/>
          <w:kern w:val="2"/>
          <w:szCs w:val="22"/>
          <w14:ligatures w14:val="standardContextual"/>
        </w:rPr>
        <w:t xml:space="preserve">Othman, Norashiken </w:t>
      </w:r>
      <w:r w:rsidR="00FB7DA1" w:rsidRPr="005B2FA1">
        <w:rPr>
          <w:rFonts w:eastAsia="Aptos" w:cs="Times"/>
          <w:b/>
          <w:bCs/>
          <w:kern w:val="2"/>
          <w:szCs w:val="22"/>
          <w:vertAlign w:val="superscript"/>
          <w14:ligatures w14:val="standardContextual"/>
        </w:rPr>
        <w:t>1*</w:t>
      </w:r>
      <w:r w:rsidR="00FB7DA1" w:rsidRPr="005B2FA1">
        <w:rPr>
          <w:rFonts w:eastAsia="Aptos" w:cs="Times"/>
          <w:b/>
          <w:bCs/>
          <w:kern w:val="2"/>
          <w:szCs w:val="22"/>
          <w14:ligatures w14:val="standardContextual"/>
        </w:rPr>
        <w:t xml:space="preserve">, </w:t>
      </w:r>
      <w:r w:rsidRPr="005B2FA1">
        <w:rPr>
          <w:rFonts w:eastAsia="Aptos" w:cs="Times"/>
          <w:b/>
          <w:bCs/>
          <w:kern w:val="2"/>
          <w:szCs w:val="22"/>
          <w14:ligatures w14:val="standardContextual"/>
        </w:rPr>
        <w:t xml:space="preserve">UNN Abdullah </w:t>
      </w:r>
      <w:r w:rsidRPr="005B2FA1">
        <w:rPr>
          <w:rFonts w:eastAsia="Aptos" w:cs="Times"/>
          <w:b/>
          <w:bCs/>
          <w:kern w:val="2"/>
          <w:szCs w:val="22"/>
          <w:vertAlign w:val="superscript"/>
          <w14:ligatures w14:val="standardContextual"/>
        </w:rPr>
        <w:t>2</w:t>
      </w:r>
      <w:r w:rsidRPr="005B2FA1">
        <w:rPr>
          <w:rFonts w:eastAsia="Aptos" w:cs="Times"/>
          <w:b/>
          <w:bCs/>
          <w:kern w:val="2"/>
          <w:szCs w:val="22"/>
          <w14:ligatures w14:val="standardContextual"/>
        </w:rPr>
        <w:t xml:space="preserve">, </w:t>
      </w:r>
      <w:proofErr w:type="spellStart"/>
      <w:r w:rsidRPr="005B2FA1">
        <w:rPr>
          <w:rFonts w:eastAsia="Aptos" w:cs="Times"/>
          <w:b/>
          <w:bCs/>
          <w:kern w:val="2"/>
          <w:szCs w:val="22"/>
          <w14:ligatures w14:val="standardContextual"/>
        </w:rPr>
        <w:t>Safitri</w:t>
      </w:r>
      <w:proofErr w:type="spellEnd"/>
      <w:r w:rsidRPr="005B2FA1">
        <w:rPr>
          <w:rFonts w:eastAsia="Aptos" w:cs="Times"/>
          <w:b/>
          <w:bCs/>
          <w:kern w:val="2"/>
          <w:szCs w:val="22"/>
          <w14:ligatures w14:val="standardContextual"/>
        </w:rPr>
        <w:t>, Dian Mardi</w:t>
      </w:r>
      <w:r w:rsidRPr="005B2FA1">
        <w:rPr>
          <w:rFonts w:eastAsia="Aptos" w:cs="Times"/>
          <w:b/>
          <w:bCs/>
          <w:kern w:val="2"/>
          <w:szCs w:val="22"/>
          <w:vertAlign w:val="superscript"/>
          <w14:ligatures w14:val="standardContextual"/>
        </w:rPr>
        <w:t>3</w:t>
      </w:r>
      <w:r w:rsidRPr="005B2FA1">
        <w:rPr>
          <w:rFonts w:cs="Times"/>
        </w:rPr>
        <w:t xml:space="preserve">, </w:t>
      </w:r>
      <w:proofErr w:type="spellStart"/>
      <w:r w:rsidRPr="005B2FA1">
        <w:rPr>
          <w:rFonts w:eastAsia="Aptos" w:cs="Times"/>
          <w:b/>
          <w:bCs/>
          <w:kern w:val="2"/>
          <w:szCs w:val="22"/>
          <w14:ligatures w14:val="standardContextual"/>
        </w:rPr>
        <w:t>Prasetyo</w:t>
      </w:r>
      <w:proofErr w:type="spellEnd"/>
      <w:r w:rsidRPr="005B2FA1">
        <w:rPr>
          <w:rFonts w:eastAsia="Aptos" w:cs="Times"/>
          <w:b/>
          <w:bCs/>
          <w:kern w:val="2"/>
          <w:szCs w:val="22"/>
          <w14:ligatures w14:val="standardContextual"/>
        </w:rPr>
        <w:t>, Yogi Tri</w:t>
      </w:r>
      <w:r w:rsidRPr="005B2FA1">
        <w:rPr>
          <w:rFonts w:eastAsia="Aptos" w:cs="Times"/>
          <w:b/>
          <w:bCs/>
          <w:kern w:val="2"/>
          <w:szCs w:val="22"/>
          <w:vertAlign w:val="superscript"/>
          <w14:ligatures w14:val="standardContextual"/>
        </w:rPr>
        <w:t>4</w:t>
      </w:r>
      <w:r w:rsidR="00A15D3E" w:rsidRPr="005B2FA1">
        <w:rPr>
          <w:rFonts w:eastAsia="Aptos" w:cs="Times"/>
          <w:b/>
          <w:bCs/>
          <w:kern w:val="2"/>
          <w:szCs w:val="22"/>
          <w14:ligatures w14:val="standardContextual"/>
        </w:rPr>
        <w:t xml:space="preserve">, </w:t>
      </w:r>
      <w:proofErr w:type="spellStart"/>
      <w:r w:rsidR="00A15D3E" w:rsidRPr="005B2FA1">
        <w:rPr>
          <w:rFonts w:eastAsia="Aptos" w:cs="Times"/>
          <w:b/>
          <w:bCs/>
          <w:kern w:val="2"/>
          <w:szCs w:val="22"/>
          <w14:ligatures w14:val="standardContextual"/>
        </w:rPr>
        <w:t>Basaruddin</w:t>
      </w:r>
      <w:proofErr w:type="spellEnd"/>
      <w:r w:rsidR="00A15D3E" w:rsidRPr="005B2FA1">
        <w:rPr>
          <w:rFonts w:eastAsia="Aptos" w:cs="Times"/>
          <w:b/>
          <w:bCs/>
          <w:kern w:val="2"/>
          <w:szCs w:val="22"/>
          <w14:ligatures w14:val="standardContextual"/>
        </w:rPr>
        <w:t>, K.S</w:t>
      </w:r>
      <w:r w:rsidR="00A15D3E" w:rsidRPr="005B2FA1">
        <w:rPr>
          <w:rFonts w:eastAsia="Aptos" w:cs="Times"/>
          <w:b/>
          <w:bCs/>
          <w:kern w:val="2"/>
          <w:szCs w:val="22"/>
          <w:vertAlign w:val="superscript"/>
          <w14:ligatures w14:val="standardContextual"/>
        </w:rPr>
        <w:t>5</w:t>
      </w:r>
      <w:r w:rsidR="00A15D3E" w:rsidRPr="005B2FA1">
        <w:rPr>
          <w:rFonts w:eastAsia="Aptos" w:cs="Times"/>
          <w:b/>
          <w:bCs/>
          <w:kern w:val="2"/>
          <w:szCs w:val="22"/>
          <w14:ligatures w14:val="standardContextual"/>
        </w:rPr>
        <w:t xml:space="preserve"> </w:t>
      </w:r>
      <w:r w:rsidR="00FB7DA1" w:rsidRPr="005B2FA1">
        <w:rPr>
          <w:rFonts w:eastAsia="Aptos" w:cs="Times"/>
          <w:b/>
          <w:bCs/>
          <w:kern w:val="2"/>
          <w:szCs w:val="22"/>
          <w14:ligatures w14:val="standardContextual"/>
        </w:rPr>
        <w:t xml:space="preserve">and </w:t>
      </w:r>
      <w:r w:rsidRPr="005B2FA1">
        <w:rPr>
          <w:rFonts w:eastAsia="Aptos" w:cs="Times"/>
          <w:b/>
          <w:bCs/>
          <w:kern w:val="2"/>
          <w:szCs w:val="22"/>
          <w14:ligatures w14:val="standardContextual"/>
        </w:rPr>
        <w:t>KG Gogulashanti</w:t>
      </w:r>
      <w:r w:rsidR="00A15D3E" w:rsidRPr="005B2FA1">
        <w:rPr>
          <w:rFonts w:eastAsia="Aptos" w:cs="Times"/>
          <w:b/>
          <w:bCs/>
          <w:kern w:val="2"/>
          <w:szCs w:val="22"/>
          <w:vertAlign w:val="superscript"/>
          <w14:ligatures w14:val="standardContextual"/>
        </w:rPr>
        <w:t>6</w:t>
      </w:r>
      <w:r w:rsidRPr="005B2FA1">
        <w:rPr>
          <w:rFonts w:eastAsia="Aptos" w:cs="Times"/>
          <w:b/>
          <w:bCs/>
          <w:kern w:val="2"/>
          <w:szCs w:val="22"/>
          <w14:ligatures w14:val="standardContextual"/>
        </w:rPr>
        <w:t xml:space="preserve"> </w:t>
      </w:r>
    </w:p>
    <w:p w14:paraId="5DE90309" w14:textId="62A5800A" w:rsidR="00A15D3E" w:rsidRPr="005B2FA1" w:rsidRDefault="00FB7DA1" w:rsidP="00FB7DA1">
      <w:pPr>
        <w:spacing w:line="259" w:lineRule="auto"/>
        <w:ind w:left="1418"/>
        <w:rPr>
          <w:rFonts w:eastAsia="Aptos" w:cs="Times"/>
          <w:kern w:val="2"/>
          <w:sz w:val="20"/>
          <w14:ligatures w14:val="standardContextual"/>
        </w:rPr>
      </w:pPr>
      <w:r w:rsidRPr="005B2FA1">
        <w:rPr>
          <w:rFonts w:eastAsia="Aptos" w:cs="Times"/>
          <w:kern w:val="2"/>
          <w:sz w:val="20"/>
          <w:vertAlign w:val="superscript"/>
          <w14:ligatures w14:val="standardContextual"/>
        </w:rPr>
        <w:t>1</w:t>
      </w:r>
      <w:r w:rsidR="00A15D3E" w:rsidRPr="005B2FA1">
        <w:rPr>
          <w:rFonts w:eastAsia="Aptos" w:cs="Times"/>
          <w:kern w:val="2"/>
          <w:sz w:val="20"/>
          <w:vertAlign w:val="superscript"/>
          <w14:ligatures w14:val="standardContextual"/>
        </w:rPr>
        <w:t>,2,5,6</w:t>
      </w:r>
      <w:r w:rsidRPr="005B2FA1">
        <w:rPr>
          <w:rFonts w:eastAsia="Aptos" w:cs="Times"/>
          <w:kern w:val="2"/>
          <w:sz w:val="20"/>
          <w:vertAlign w:val="superscript"/>
          <w14:ligatures w14:val="standardContextual"/>
        </w:rPr>
        <w:t xml:space="preserve"> </w:t>
      </w:r>
      <w:r w:rsidR="000B5201" w:rsidRPr="005B2FA1">
        <w:rPr>
          <w:rFonts w:eastAsia="Aptos" w:cs="Times"/>
          <w:kern w:val="2"/>
          <w:sz w:val="20"/>
          <w14:ligatures w14:val="standardContextual"/>
        </w:rPr>
        <w:t>Department of Mechanical Engineering</w:t>
      </w:r>
      <w:r w:rsidR="00A15D3E" w:rsidRPr="005B2FA1">
        <w:rPr>
          <w:rFonts w:eastAsia="Aptos" w:cs="Times"/>
          <w:kern w:val="2"/>
          <w:sz w:val="20"/>
          <w14:ligatures w14:val="standardContextual"/>
        </w:rPr>
        <w:t>, University Malaysia Perlis, Malaysia</w:t>
      </w:r>
    </w:p>
    <w:p w14:paraId="3E1A42E3" w14:textId="6DEB99BC" w:rsidR="00A15D3E" w:rsidRPr="00724807" w:rsidRDefault="00A15D3E" w:rsidP="00A15D3E">
      <w:pPr>
        <w:spacing w:line="259" w:lineRule="auto"/>
        <w:ind w:left="1418"/>
        <w:rPr>
          <w:rFonts w:eastAsia="Aptos" w:cs="Times"/>
          <w:b/>
          <w:bCs/>
          <w:kern w:val="2"/>
          <w:sz w:val="20"/>
          <w14:ligatures w14:val="standardContextual"/>
        </w:rPr>
      </w:pPr>
      <w:r w:rsidRPr="005B2FA1">
        <w:rPr>
          <w:rFonts w:eastAsia="Aptos" w:cs="Times"/>
          <w:kern w:val="2"/>
          <w:sz w:val="20"/>
          <w:vertAlign w:val="superscript"/>
          <w14:ligatures w14:val="standardContextual"/>
        </w:rPr>
        <w:t xml:space="preserve">3 </w:t>
      </w:r>
      <w:proofErr w:type="spellStart"/>
      <w:r w:rsidRPr="0005561A">
        <w:rPr>
          <w:rFonts w:eastAsia="Aptos" w:cs="Times"/>
          <w:kern w:val="2"/>
          <w:sz w:val="20"/>
          <w14:ligatures w14:val="standardContextual"/>
        </w:rPr>
        <w:t>Center</w:t>
      </w:r>
      <w:proofErr w:type="spellEnd"/>
      <w:r w:rsidRPr="0005561A">
        <w:rPr>
          <w:rFonts w:eastAsia="Aptos" w:cs="Times"/>
          <w:kern w:val="2"/>
          <w:sz w:val="20"/>
          <w14:ligatures w14:val="standardContextual"/>
        </w:rPr>
        <w:t xml:space="preserve"> for the Study of Ergonomics, Universitas </w:t>
      </w:r>
      <w:proofErr w:type="spellStart"/>
      <w:r w:rsidRPr="0005561A">
        <w:rPr>
          <w:rFonts w:eastAsia="Aptos" w:cs="Times"/>
          <w:kern w:val="2"/>
          <w:sz w:val="20"/>
          <w14:ligatures w14:val="standardContextual"/>
        </w:rPr>
        <w:t>Trisakti</w:t>
      </w:r>
      <w:proofErr w:type="spellEnd"/>
      <w:r w:rsidRPr="0005561A">
        <w:rPr>
          <w:rFonts w:eastAsia="Aptos" w:cs="Times"/>
          <w:kern w:val="2"/>
          <w:sz w:val="20"/>
          <w14:ligatures w14:val="standardContextual"/>
        </w:rPr>
        <w:t>, Jakarta, Indonesia.</w:t>
      </w:r>
    </w:p>
    <w:p w14:paraId="4777CA08" w14:textId="6ADAACA1" w:rsidR="00FB7DA1" w:rsidRPr="005B2FA1" w:rsidRDefault="00A15D3E" w:rsidP="00FB7DA1">
      <w:pPr>
        <w:spacing w:line="259" w:lineRule="auto"/>
        <w:ind w:left="1418"/>
        <w:rPr>
          <w:rFonts w:eastAsia="Aptos" w:cs="Times"/>
          <w:kern w:val="2"/>
          <w:sz w:val="20"/>
          <w14:ligatures w14:val="standardContextual"/>
        </w:rPr>
      </w:pPr>
      <w:r w:rsidRPr="005B2FA1">
        <w:rPr>
          <w:rFonts w:eastAsia="Aptos" w:cs="Times"/>
          <w:kern w:val="2"/>
          <w:sz w:val="20"/>
          <w:vertAlign w:val="superscript"/>
          <w14:ligatures w14:val="standardContextual"/>
        </w:rPr>
        <w:t xml:space="preserve">4 </w:t>
      </w:r>
      <w:r w:rsidRPr="005B2FA1">
        <w:rPr>
          <w:rFonts w:eastAsia="Aptos" w:cs="Times"/>
          <w:kern w:val="2"/>
          <w:sz w:val="20"/>
          <w14:ligatures w14:val="standardContextual"/>
        </w:rPr>
        <w:t>Department of Industrial Engineering and Management,</w:t>
      </w:r>
      <w:r w:rsidRPr="005B2FA1">
        <w:rPr>
          <w:rFonts w:eastAsia="Aptos" w:cs="Times"/>
          <w:kern w:val="2"/>
          <w:sz w:val="20"/>
          <w:vertAlign w:val="superscript"/>
          <w14:ligatures w14:val="standardContextual"/>
        </w:rPr>
        <w:t xml:space="preserve"> </w:t>
      </w:r>
      <w:r w:rsidR="00E0470B" w:rsidRPr="005B2FA1">
        <w:rPr>
          <w:rFonts w:eastAsia="Aptos" w:cs="Times"/>
          <w:kern w:val="2"/>
          <w:sz w:val="20"/>
          <w14:ligatures w14:val="standardContextual"/>
        </w:rPr>
        <w:t>Yuan Ze University</w:t>
      </w:r>
      <w:r w:rsidR="00FB7DA1" w:rsidRPr="005B2FA1">
        <w:rPr>
          <w:rFonts w:eastAsia="Aptos" w:cs="Times"/>
          <w:kern w:val="2"/>
          <w:sz w:val="20"/>
          <w14:ligatures w14:val="standardContextual"/>
        </w:rPr>
        <w:t xml:space="preserve">, </w:t>
      </w:r>
      <w:r w:rsidRPr="005B2FA1">
        <w:rPr>
          <w:rFonts w:eastAsia="Aptos" w:cs="Times"/>
          <w:kern w:val="2"/>
          <w:sz w:val="20"/>
          <w14:ligatures w14:val="standardContextual"/>
        </w:rPr>
        <w:t>Taoyuan District</w:t>
      </w:r>
      <w:r w:rsidR="00FB7DA1" w:rsidRPr="005B2FA1">
        <w:rPr>
          <w:rFonts w:eastAsia="Aptos" w:cs="Times"/>
          <w:kern w:val="2"/>
          <w:sz w:val="20"/>
          <w14:ligatures w14:val="standardContextual"/>
        </w:rPr>
        <w:t xml:space="preserve">, </w:t>
      </w:r>
      <w:r w:rsidRPr="005B2FA1">
        <w:rPr>
          <w:rFonts w:eastAsia="Aptos" w:cs="Times"/>
          <w:kern w:val="2"/>
          <w:sz w:val="20"/>
          <w14:ligatures w14:val="standardContextual"/>
        </w:rPr>
        <w:t>Taiwan</w:t>
      </w:r>
    </w:p>
    <w:p w14:paraId="486964FD" w14:textId="77777777" w:rsidR="00FB7DA1" w:rsidRPr="005B2FA1" w:rsidRDefault="00FB7DA1" w:rsidP="00FB7DA1">
      <w:pPr>
        <w:spacing w:line="259" w:lineRule="auto"/>
        <w:ind w:left="1418"/>
        <w:rPr>
          <w:rFonts w:eastAsia="Aptos" w:cs="Times"/>
          <w:kern w:val="2"/>
          <w:sz w:val="20"/>
          <w14:ligatures w14:val="standardContextual"/>
        </w:rPr>
      </w:pPr>
    </w:p>
    <w:p w14:paraId="0E542218" w14:textId="3B20AC08" w:rsidR="00FB7DA1" w:rsidRPr="005B2FA1" w:rsidRDefault="00FB7DA1" w:rsidP="00FB7DA1">
      <w:pPr>
        <w:spacing w:line="259" w:lineRule="auto"/>
        <w:ind w:left="1418"/>
        <w:rPr>
          <w:rFonts w:eastAsia="Aptos" w:cs="Times"/>
          <w:kern w:val="2"/>
          <w:sz w:val="20"/>
          <w14:ligatures w14:val="standardContextual"/>
        </w:rPr>
      </w:pPr>
      <w:r w:rsidRPr="005B2FA1">
        <w:rPr>
          <w:rFonts w:eastAsia="Aptos" w:cs="Times"/>
          <w:kern w:val="2"/>
          <w:sz w:val="20"/>
          <w:vertAlign w:val="superscript"/>
          <w14:ligatures w14:val="standardContextual"/>
        </w:rPr>
        <w:t>*</w:t>
      </w:r>
      <w:r w:rsidRPr="005B2FA1">
        <w:rPr>
          <w:rFonts w:eastAsia="Aptos" w:cs="Times"/>
          <w:kern w:val="2"/>
          <w:sz w:val="20"/>
          <w14:ligatures w14:val="standardContextual"/>
        </w:rPr>
        <w:t xml:space="preserve">E-mail: </w:t>
      </w:r>
      <w:r w:rsidR="00A15D3E" w:rsidRPr="005B2FA1">
        <w:rPr>
          <w:rFonts w:eastAsia="Aptos" w:cs="Times"/>
          <w:kern w:val="2"/>
          <w:sz w:val="20"/>
          <w14:ligatures w14:val="standardContextual"/>
        </w:rPr>
        <w:t>norashiken@unimap.edu.my</w:t>
      </w:r>
    </w:p>
    <w:p w14:paraId="4CACA093" w14:textId="77777777" w:rsidR="00FB7DA1" w:rsidRPr="005B2FA1" w:rsidRDefault="00FB7DA1" w:rsidP="00FB7DA1">
      <w:pPr>
        <w:spacing w:line="259" w:lineRule="auto"/>
        <w:ind w:left="1418"/>
        <w:rPr>
          <w:rFonts w:eastAsia="Aptos" w:cs="Times"/>
          <w:kern w:val="2"/>
          <w:sz w:val="20"/>
          <w14:ligatures w14:val="standardContextual"/>
        </w:rPr>
      </w:pPr>
    </w:p>
    <w:p w14:paraId="1599078A" w14:textId="3D5C4AAB" w:rsidR="00FB7DA1" w:rsidRPr="005B2FA1" w:rsidRDefault="00FB7DA1" w:rsidP="00FB7DA1">
      <w:pPr>
        <w:spacing w:after="360" w:line="259" w:lineRule="auto"/>
        <w:ind w:left="1418"/>
        <w:rPr>
          <w:rFonts w:eastAsia="Aptos" w:cs="Times"/>
          <w:kern w:val="2"/>
          <w:szCs w:val="22"/>
          <w14:ligatures w14:val="standardContextual"/>
        </w:rPr>
      </w:pPr>
      <w:r w:rsidRPr="005B2FA1">
        <w:rPr>
          <w:rFonts w:eastAsia="Aptos" w:cs="Times"/>
          <w:b/>
          <w:bCs/>
          <w:kern w:val="2"/>
          <w:szCs w:val="22"/>
          <w14:ligatures w14:val="standardContextual"/>
        </w:rPr>
        <w:t xml:space="preserve">Abstract. </w:t>
      </w:r>
      <w:r w:rsidR="00A15D3E" w:rsidRPr="005B2FA1">
        <w:rPr>
          <w:rFonts w:eastAsia="Aptos" w:cs="Times"/>
          <w:kern w:val="2"/>
          <w:szCs w:val="22"/>
          <w14:ligatures w14:val="standardContextual"/>
        </w:rPr>
        <w:t xml:space="preserve">This study aimed to evaluate the cognitive workload characteristics influencing reading performance among children with autism spectrum disorder (ASD) by examining variations in pupil dilation. A sample of 20 children with ASD, aged 5-13 years, exhibiting difficulties in reading fluency and displaying abnormal characteristics, participated in this research. Utilizing an eye tracker device with Tobii Studio </w:t>
      </w:r>
      <w:r w:rsidR="000B5201" w:rsidRPr="005B2FA1">
        <w:rPr>
          <w:rFonts w:eastAsia="Aptos" w:cs="Times"/>
          <w:kern w:val="2"/>
          <w:szCs w:val="22"/>
          <w14:ligatures w14:val="standardContextual"/>
        </w:rPr>
        <w:t>60</w:t>
      </w:r>
      <w:r w:rsidR="00A15D3E" w:rsidRPr="005B2FA1">
        <w:rPr>
          <w:rFonts w:eastAsia="Aptos" w:cs="Times"/>
          <w:kern w:val="2"/>
          <w:szCs w:val="22"/>
          <w14:ligatures w14:val="standardContextual"/>
        </w:rPr>
        <w:t xml:space="preserve">, </w:t>
      </w:r>
      <w:r w:rsidR="00E46CC9">
        <w:rPr>
          <w:rFonts w:eastAsia="Aptos" w:cs="Times"/>
          <w:kern w:val="2"/>
          <w:szCs w:val="22"/>
          <w14:ligatures w14:val="standardContextual"/>
        </w:rPr>
        <w:t xml:space="preserve">the study </w:t>
      </w:r>
      <w:r w:rsidR="00A15D3E" w:rsidRPr="005B2FA1">
        <w:rPr>
          <w:rFonts w:eastAsia="Aptos" w:cs="Times"/>
          <w:kern w:val="2"/>
          <w:szCs w:val="22"/>
          <w14:ligatures w14:val="standardContextual"/>
        </w:rPr>
        <w:t xml:space="preserve">assessed cognitive workload through task performance and physiological measures, focusing on eye </w:t>
      </w:r>
      <w:r w:rsidR="000B5201" w:rsidRPr="005B2FA1">
        <w:rPr>
          <w:rFonts w:eastAsia="Aptos" w:cs="Times"/>
          <w:kern w:val="2"/>
          <w:szCs w:val="22"/>
          <w14:ligatures w14:val="standardContextual"/>
        </w:rPr>
        <w:t>pupillometry</w:t>
      </w:r>
      <w:r w:rsidR="00A15D3E" w:rsidRPr="005B2FA1">
        <w:rPr>
          <w:rFonts w:eastAsia="Aptos" w:cs="Times"/>
          <w:kern w:val="2"/>
          <w:szCs w:val="22"/>
          <w14:ligatures w14:val="standardContextual"/>
        </w:rPr>
        <w:t xml:space="preserve"> as primary indicators. Reading materials, presented as images on digital cue cards combined into a video, were administered in the Malay language to each participant individually. Our results revealed significant differences in pupil dilation corresponding to low, moderate, and high cognitive workloads, suggesting a direct correlation between pupil dilation and the cognitive demands of reading tasks among children with ASDC. Specifically, the one-way ANOVA indicated a significant variation in eye dilation scores (DF 2,12439=255.529, p&lt;0.05), with post hoc comparisons revealing marked differences between low, moderate and high cognitive workload levels. Additionally, a paired t-test comparison between left and right eye dilations underscored a significant disparity, further emphasizing the physiological nuances associated with reading challenges in this population. The study concludes that pupil dilation, as a non-invasive physiological measure, effectively reflects the cognitive workload during reading tasks in children with ASD. These findings offer profound implications for designing targeted interventions that accommodate the unique cognitive profiles of children with ASD, potentially enhancing reading </w:t>
      </w:r>
      <w:r w:rsidR="00E529EC" w:rsidRPr="005B2FA1">
        <w:rPr>
          <w:rFonts w:eastAsia="Aptos" w:cs="Times"/>
          <w:kern w:val="2"/>
          <w:szCs w:val="22"/>
          <w14:ligatures w14:val="standardContextual"/>
        </w:rPr>
        <w:t>ability</w:t>
      </w:r>
      <w:r w:rsidR="00A15D3E" w:rsidRPr="005B2FA1">
        <w:rPr>
          <w:rFonts w:eastAsia="Aptos" w:cs="Times"/>
          <w:kern w:val="2"/>
          <w:szCs w:val="22"/>
          <w14:ligatures w14:val="standardContextual"/>
        </w:rPr>
        <w:t xml:space="preserve"> and comprehension through tailored </w:t>
      </w:r>
      <w:r w:rsidR="00D11625">
        <w:rPr>
          <w:rFonts w:eastAsia="Aptos" w:cs="Times"/>
          <w:kern w:val="2"/>
          <w:szCs w:val="22"/>
          <w14:ligatures w14:val="standardContextual"/>
        </w:rPr>
        <w:t xml:space="preserve">technological </w:t>
      </w:r>
      <w:r w:rsidR="00A15D3E" w:rsidRPr="005B2FA1">
        <w:rPr>
          <w:rFonts w:eastAsia="Aptos" w:cs="Times"/>
          <w:kern w:val="2"/>
          <w:szCs w:val="22"/>
          <w14:ligatures w14:val="standardContextual"/>
        </w:rPr>
        <w:t xml:space="preserve">educational approach. </w:t>
      </w:r>
      <w:r w:rsidR="000B5201" w:rsidRPr="005B2FA1">
        <w:rPr>
          <w:rFonts w:eastAsia="Aptos" w:cs="Times"/>
          <w:kern w:val="2"/>
          <w:szCs w:val="22"/>
          <w14:ligatures w14:val="standardContextual"/>
        </w:rPr>
        <w:t xml:space="preserve">The </w:t>
      </w:r>
      <w:r w:rsidR="00A15D3E" w:rsidRPr="005B2FA1">
        <w:rPr>
          <w:rFonts w:eastAsia="Aptos" w:cs="Times"/>
          <w:kern w:val="2"/>
          <w:szCs w:val="22"/>
          <w14:ligatures w14:val="standardContextual"/>
        </w:rPr>
        <w:t xml:space="preserve">observed differences underscore the importance of considering individual variability in cognitive processing when addressing </w:t>
      </w:r>
      <w:r w:rsidR="000B5201" w:rsidRPr="005B2FA1">
        <w:rPr>
          <w:rFonts w:eastAsia="Aptos" w:cs="Times"/>
          <w:kern w:val="2"/>
          <w:szCs w:val="22"/>
          <w14:ligatures w14:val="standardContextual"/>
        </w:rPr>
        <w:t xml:space="preserve">ASD </w:t>
      </w:r>
      <w:r w:rsidR="00A15D3E" w:rsidRPr="005B2FA1">
        <w:rPr>
          <w:rFonts w:eastAsia="Aptos" w:cs="Times"/>
          <w:kern w:val="2"/>
          <w:szCs w:val="22"/>
          <w14:ligatures w14:val="standardContextual"/>
        </w:rPr>
        <w:t>reading difficulties</w:t>
      </w:r>
      <w:r w:rsidR="000B5201" w:rsidRPr="005B2FA1">
        <w:rPr>
          <w:rFonts w:eastAsia="Aptos" w:cs="Times"/>
          <w:kern w:val="2"/>
          <w:szCs w:val="22"/>
          <w14:ligatures w14:val="standardContextual"/>
        </w:rPr>
        <w:t xml:space="preserve"> need</w:t>
      </w:r>
      <w:r w:rsidR="00D11625">
        <w:rPr>
          <w:rFonts w:eastAsia="Aptos" w:cs="Times"/>
          <w:kern w:val="2"/>
          <w:szCs w:val="22"/>
          <w14:ligatures w14:val="standardContextual"/>
        </w:rPr>
        <w:t xml:space="preserve"> in the future</w:t>
      </w:r>
      <w:r w:rsidR="00A15D3E" w:rsidRPr="005B2FA1">
        <w:rPr>
          <w:rFonts w:eastAsia="Aptos" w:cs="Times"/>
          <w:kern w:val="2"/>
          <w:szCs w:val="22"/>
          <w14:ligatures w14:val="standardContextual"/>
        </w:rPr>
        <w:t>.</w:t>
      </w:r>
    </w:p>
    <w:p w14:paraId="751A0B05" w14:textId="38B6D37F" w:rsidR="00FB7DA1" w:rsidRPr="005B2FA1" w:rsidRDefault="00FB7DA1" w:rsidP="006705A7">
      <w:pPr>
        <w:pStyle w:val="Abstract"/>
        <w:spacing w:after="567"/>
        <w:jc w:val="left"/>
        <w:rPr>
          <w:rFonts w:cs="Times"/>
        </w:rPr>
      </w:pPr>
      <w:r w:rsidRPr="005B2FA1">
        <w:rPr>
          <w:rFonts w:cs="Times"/>
          <w:b/>
        </w:rPr>
        <w:t>Keywords:</w:t>
      </w:r>
      <w:r w:rsidRPr="005B2FA1">
        <w:rPr>
          <w:rFonts w:cs="Times"/>
        </w:rPr>
        <w:t xml:space="preserve"> </w:t>
      </w:r>
      <w:r w:rsidR="00A15D3E" w:rsidRPr="005B2FA1">
        <w:rPr>
          <w:rFonts w:cs="Times"/>
        </w:rPr>
        <w:t xml:space="preserve">Cognitive Engineering, </w:t>
      </w:r>
      <w:proofErr w:type="spellStart"/>
      <w:r w:rsidR="00A15D3E" w:rsidRPr="005B2FA1">
        <w:rPr>
          <w:rFonts w:cs="Times"/>
        </w:rPr>
        <w:t>Neuroergonomics</w:t>
      </w:r>
      <w:proofErr w:type="spellEnd"/>
      <w:r w:rsidR="00A15D3E" w:rsidRPr="005B2FA1">
        <w:rPr>
          <w:rFonts w:cs="Times"/>
        </w:rPr>
        <w:t xml:space="preserve">, Reading Cognitive Load, </w:t>
      </w:r>
      <w:r w:rsidR="000B5201" w:rsidRPr="005B2FA1">
        <w:rPr>
          <w:rFonts w:cs="Times"/>
        </w:rPr>
        <w:t xml:space="preserve">Eye </w:t>
      </w:r>
      <w:proofErr w:type="spellStart"/>
      <w:r w:rsidR="00A15D3E" w:rsidRPr="005B2FA1">
        <w:rPr>
          <w:rFonts w:cs="Times"/>
        </w:rPr>
        <w:t>Pupilometry</w:t>
      </w:r>
      <w:proofErr w:type="spellEnd"/>
      <w:r w:rsidR="00A15D3E" w:rsidRPr="005B2FA1">
        <w:rPr>
          <w:rFonts w:cs="Times"/>
        </w:rPr>
        <w:t>, Autism Spectrum Disorder (ASD)</w:t>
      </w:r>
    </w:p>
    <w:p w14:paraId="381F85D2" w14:textId="77777777" w:rsidR="00465D11" w:rsidRPr="005B2FA1" w:rsidRDefault="00465D11" w:rsidP="00465D11">
      <w:pPr>
        <w:pStyle w:val="Subtitle1"/>
      </w:pPr>
      <w:r w:rsidRPr="005B2FA1">
        <w:lastRenderedPageBreak/>
        <w:t>Introduction</w:t>
      </w:r>
    </w:p>
    <w:p w14:paraId="4E5FC54C" w14:textId="63ABB4FC" w:rsidR="000F2ED3" w:rsidRPr="000F2ED3" w:rsidRDefault="000F2ED3" w:rsidP="000F2ED3">
      <w:pPr>
        <w:pStyle w:val="BodyChar"/>
        <w:rPr>
          <w:rFonts w:cs="Times"/>
        </w:rPr>
      </w:pPr>
      <w:r w:rsidRPr="000F2ED3">
        <w:rPr>
          <w:rFonts w:cs="Times"/>
        </w:rPr>
        <w:t xml:space="preserve">Children with Autism Spectrum Disorder Condition (ASDC) often exhibit unique cognitive profiles that significantly impact their reading abilities. Understanding the specific cognitive factors that influence these abilities is crucial for the development of targeted interventions aimed at improving educational outcomes for these children. Autism Spectrum Disorder (ASD) is a neurodevelopmental condition characterized by deficits in social communication and the presence of repetitive behaviours and restricted interests. These characteristics often contribute to challenges in academic settings, particularly in reading fluency and comprehension </w:t>
      </w:r>
      <w:r>
        <w:rPr>
          <w:rFonts w:cs="Times"/>
        </w:rPr>
        <w:t>[1]</w:t>
      </w:r>
      <w:r w:rsidRPr="000F2ED3">
        <w:rPr>
          <w:rFonts w:cs="Times"/>
        </w:rPr>
        <w:t xml:space="preserve">. Children with ASDC frequently display difficulties in decoding text, understanding syntax, and grasping the semantic content of reading materials </w:t>
      </w:r>
      <w:r w:rsidR="005627D9">
        <w:rPr>
          <w:rFonts w:cs="Times"/>
        </w:rPr>
        <w:t>[2]</w:t>
      </w:r>
      <w:r w:rsidRPr="000F2ED3">
        <w:rPr>
          <w:rFonts w:cs="Times"/>
        </w:rPr>
        <w:t>. These challenges are exacerbated by the cognitive load imposed by reading tasks, which can overwhelm their processing capabilities. Assessing cognitive workload is vital in educational contexts, as it provides insights into the mental effort required to perform tasks. Cognitive workload refers to the mental resources needed to carry out a cognitive task and can be influenced by the task's complexity and the individual's cognitive capacity</w:t>
      </w:r>
      <w:r w:rsidR="005627D9">
        <w:rPr>
          <w:rFonts w:cs="Times"/>
        </w:rPr>
        <w:t xml:space="preserve"> [3]</w:t>
      </w:r>
      <w:r w:rsidRPr="000F2ED3">
        <w:rPr>
          <w:rFonts w:cs="Times"/>
        </w:rPr>
        <w:t xml:space="preserve">. In children with ASDC, understanding cognitive workload can help identify the specific demands that different reading tasks impose, thus guiding the design of interventions tailored to their unique needs </w:t>
      </w:r>
      <w:r w:rsidR="005627D9">
        <w:rPr>
          <w:rFonts w:cs="Times"/>
        </w:rPr>
        <w:t>[4]</w:t>
      </w:r>
      <w:r w:rsidRPr="000F2ED3">
        <w:rPr>
          <w:rFonts w:cs="Times"/>
        </w:rPr>
        <w:t xml:space="preserve">. </w:t>
      </w:r>
    </w:p>
    <w:p w14:paraId="4B20CFE9" w14:textId="5DC52758" w:rsidR="000F2ED3" w:rsidRPr="000F2ED3" w:rsidRDefault="000F2ED3" w:rsidP="000F2ED3">
      <w:pPr>
        <w:pStyle w:val="BodyChar"/>
        <w:rPr>
          <w:rFonts w:cs="Times"/>
        </w:rPr>
      </w:pPr>
      <w:r w:rsidRPr="000F2ED3">
        <w:rPr>
          <w:rFonts w:cs="Times"/>
        </w:rPr>
        <w:t xml:space="preserve">The primary objective of this study is to evaluate the cognitive workload characteristics that influence reading performance among children with ASDC by examining variations in pupil dilation. Pupil dilation is a physiological measure that reflects cognitive workload, as it increases with greater mental effort </w:t>
      </w:r>
      <w:r w:rsidR="005627D9">
        <w:rPr>
          <w:rFonts w:cs="Times"/>
        </w:rPr>
        <w:t>[5</w:t>
      </w:r>
      <w:r w:rsidR="00314B40">
        <w:rPr>
          <w:rFonts w:cs="Times"/>
        </w:rPr>
        <w:t>,6</w:t>
      </w:r>
      <w:r w:rsidR="005627D9">
        <w:rPr>
          <w:rFonts w:cs="Times"/>
        </w:rPr>
        <w:t>]</w:t>
      </w:r>
      <w:r w:rsidRPr="000F2ED3">
        <w:rPr>
          <w:rFonts w:cs="Times"/>
        </w:rPr>
        <w:t xml:space="preserve"> By using eye-tracking technology, this study aims to assess how different levels of task difficulty impact cognitive workload in this population. This study addresses two key research questions:</w:t>
      </w:r>
      <w:r w:rsidR="000A1346">
        <w:rPr>
          <w:rFonts w:cs="Times"/>
        </w:rPr>
        <w:br/>
      </w:r>
    </w:p>
    <w:p w14:paraId="44D4F0F7" w14:textId="77777777" w:rsidR="000F2ED3" w:rsidRPr="000F2ED3" w:rsidRDefault="000F2ED3" w:rsidP="000A1346">
      <w:pPr>
        <w:pStyle w:val="BodyChar"/>
        <w:tabs>
          <w:tab w:val="clear" w:pos="567"/>
          <w:tab w:val="left" w:pos="426"/>
        </w:tabs>
        <w:ind w:left="284"/>
        <w:rPr>
          <w:rFonts w:cs="Times"/>
        </w:rPr>
      </w:pPr>
      <w:r w:rsidRPr="000F2ED3">
        <w:rPr>
          <w:rFonts w:cs="Times"/>
        </w:rPr>
        <w:t>•</w:t>
      </w:r>
      <w:r w:rsidRPr="000F2ED3">
        <w:rPr>
          <w:rFonts w:cs="Times"/>
        </w:rPr>
        <w:tab/>
        <w:t>How does pupil dilation correlate with cognitive workload in children with ASDC?</w:t>
      </w:r>
    </w:p>
    <w:p w14:paraId="33576CBF" w14:textId="1715004E" w:rsidR="000F2ED3" w:rsidRPr="000F2ED3" w:rsidRDefault="000F2ED3" w:rsidP="000A1346">
      <w:pPr>
        <w:pStyle w:val="BodyChar"/>
        <w:tabs>
          <w:tab w:val="left" w:pos="426"/>
        </w:tabs>
        <w:ind w:left="284"/>
        <w:rPr>
          <w:rFonts w:cs="Times"/>
        </w:rPr>
      </w:pPr>
      <w:r w:rsidRPr="000F2ED3">
        <w:rPr>
          <w:rFonts w:cs="Times"/>
        </w:rPr>
        <w:t>•</w:t>
      </w:r>
      <w:r w:rsidRPr="000F2ED3">
        <w:rPr>
          <w:rFonts w:cs="Times"/>
        </w:rPr>
        <w:tab/>
        <w:t xml:space="preserve">Are there any differences in cognitive workload during reading tasks of varying difficulty? </w:t>
      </w:r>
      <w:r w:rsidR="005627D9">
        <w:rPr>
          <w:rFonts w:cs="Times"/>
        </w:rPr>
        <w:t>[</w:t>
      </w:r>
      <w:r w:rsidR="00314B40">
        <w:rPr>
          <w:rFonts w:cs="Times"/>
        </w:rPr>
        <w:t>7</w:t>
      </w:r>
      <w:r w:rsidR="005627D9">
        <w:rPr>
          <w:rFonts w:cs="Times"/>
        </w:rPr>
        <w:t>].</w:t>
      </w:r>
    </w:p>
    <w:p w14:paraId="3BF3AF62" w14:textId="77777777" w:rsidR="000F2ED3" w:rsidRPr="000F2ED3" w:rsidRDefault="000F2ED3" w:rsidP="000F2ED3">
      <w:pPr>
        <w:pStyle w:val="BodyChar"/>
        <w:rPr>
          <w:rFonts w:cs="Times"/>
        </w:rPr>
      </w:pPr>
    </w:p>
    <w:p w14:paraId="7F4FF530" w14:textId="0E9C0DD5" w:rsidR="000B5201" w:rsidRPr="005B2FA1" w:rsidRDefault="000F2ED3" w:rsidP="000F2ED3">
      <w:pPr>
        <w:pStyle w:val="BodyChar"/>
        <w:rPr>
          <w:rFonts w:cs="Times"/>
        </w:rPr>
      </w:pPr>
      <w:r w:rsidRPr="000F2ED3">
        <w:rPr>
          <w:rFonts w:cs="Times"/>
        </w:rPr>
        <w:t>Understanding these relationships will provide valuable insights into the cognitive processes underlying reading in children with ASDC, offering a basis for developing more effective educational strategies and interventions.</w:t>
      </w:r>
      <w:r w:rsidR="000B5201" w:rsidRPr="005B2FA1">
        <w:rPr>
          <w:rFonts w:cs="Times"/>
        </w:rPr>
        <w:t xml:space="preserve"> </w:t>
      </w:r>
    </w:p>
    <w:p w14:paraId="408E82BF" w14:textId="77777777" w:rsidR="000B5201" w:rsidRPr="005B2FA1" w:rsidRDefault="000B5201" w:rsidP="000B5201">
      <w:pPr>
        <w:pStyle w:val="BodyChar"/>
        <w:rPr>
          <w:rFonts w:cs="Times"/>
        </w:rPr>
      </w:pPr>
    </w:p>
    <w:p w14:paraId="397E2FCB" w14:textId="2BD15850" w:rsidR="000B5201" w:rsidRPr="005B2FA1" w:rsidRDefault="000B5201" w:rsidP="000B5201">
      <w:pPr>
        <w:pStyle w:val="BodyChar"/>
        <w:rPr>
          <w:rFonts w:cs="Times"/>
          <w:i/>
          <w:iCs/>
        </w:rPr>
      </w:pPr>
      <w:r w:rsidRPr="005B2FA1">
        <w:rPr>
          <w:rFonts w:cs="Times"/>
          <w:i/>
          <w:iCs/>
        </w:rPr>
        <w:t>1.1 Cognitive Workload and ASDC</w:t>
      </w:r>
    </w:p>
    <w:p w14:paraId="38FC543D" w14:textId="48605FF3" w:rsidR="000B5201" w:rsidRPr="005B2FA1" w:rsidRDefault="00CD5491" w:rsidP="000B5201">
      <w:pPr>
        <w:pStyle w:val="BodyChar"/>
        <w:rPr>
          <w:rFonts w:cs="Times"/>
        </w:rPr>
      </w:pPr>
      <w:r w:rsidRPr="002A550E">
        <w:rPr>
          <w:rFonts w:cs="Times"/>
        </w:rPr>
        <w:t>The mental effort needed to comprehend information and complete activities is referred to as cognitive workload, and it varies greatly between people</w:t>
      </w:r>
      <w:r w:rsidRPr="005B2FA1">
        <w:rPr>
          <w:rFonts w:cs="Times"/>
        </w:rPr>
        <w:t xml:space="preserve">. </w:t>
      </w:r>
      <w:r>
        <w:rPr>
          <w:rFonts w:cs="Times"/>
        </w:rPr>
        <w:t>Relating to</w:t>
      </w:r>
      <w:r w:rsidRPr="005B2FA1">
        <w:rPr>
          <w:rFonts w:cs="Times"/>
        </w:rPr>
        <w:t xml:space="preserve"> ASDC</w:t>
      </w:r>
      <w:r w:rsidRPr="002A550E">
        <w:t xml:space="preserve"> </w:t>
      </w:r>
      <w:r w:rsidRPr="002A550E">
        <w:rPr>
          <w:rFonts w:cs="Times"/>
        </w:rPr>
        <w:t>children, the</w:t>
      </w:r>
      <w:r w:rsidRPr="005B2FA1">
        <w:rPr>
          <w:rFonts w:cs="Times"/>
        </w:rPr>
        <w:t xml:space="preserve"> cognitive workload is often elevated due to the unique cognitive and sensory processing challenges they face </w:t>
      </w:r>
      <w:r w:rsidR="0091352C">
        <w:rPr>
          <w:rFonts w:cs="Times"/>
        </w:rPr>
        <w:t>[</w:t>
      </w:r>
      <w:r w:rsidR="00314B40">
        <w:rPr>
          <w:rFonts w:cs="Times"/>
        </w:rPr>
        <w:t>8</w:t>
      </w:r>
      <w:r w:rsidR="000F2ED3">
        <w:rPr>
          <w:rFonts w:cs="Times"/>
        </w:rPr>
        <w:t>,</w:t>
      </w:r>
      <w:r w:rsidR="00314B40">
        <w:rPr>
          <w:rFonts w:cs="Times"/>
        </w:rPr>
        <w:t>9</w:t>
      </w:r>
      <w:r w:rsidR="0091352C">
        <w:rPr>
          <w:rFonts w:cs="Times"/>
        </w:rPr>
        <w:t>]</w:t>
      </w:r>
      <w:r w:rsidR="000B5201" w:rsidRPr="005B2FA1">
        <w:rPr>
          <w:rFonts w:cs="Times"/>
        </w:rPr>
        <w:t xml:space="preserve">. Previous research has demonstrated that children with ASDC exhibit atypical patterns of cognitive workload during tasks requiring attention and executive function </w:t>
      </w:r>
      <w:r w:rsidR="00BD131E">
        <w:rPr>
          <w:rFonts w:cs="Times"/>
        </w:rPr>
        <w:t>[</w:t>
      </w:r>
      <w:r w:rsidR="001B2239">
        <w:rPr>
          <w:rFonts w:cs="Times"/>
        </w:rPr>
        <w:t>10</w:t>
      </w:r>
      <w:r w:rsidR="00BD131E">
        <w:rPr>
          <w:rFonts w:cs="Times"/>
        </w:rPr>
        <w:t>]</w:t>
      </w:r>
      <w:r w:rsidR="000B5201" w:rsidRPr="005B2FA1">
        <w:rPr>
          <w:rFonts w:cs="Times"/>
        </w:rPr>
        <w:t xml:space="preserve">. </w:t>
      </w:r>
      <w:r w:rsidR="00DC673C" w:rsidRPr="002A550E">
        <w:rPr>
          <w:rFonts w:cs="Times"/>
        </w:rPr>
        <w:t xml:space="preserve">Designing successful educational interventions that can take into account the cognitive profiles of children with ASDC requires an understanding of these patterns. Adapting </w:t>
      </w:r>
      <w:r w:rsidR="00DC673C" w:rsidRPr="005B2FA1">
        <w:rPr>
          <w:rFonts w:cs="Times"/>
        </w:rPr>
        <w:t xml:space="preserve">Tailoring educational content to reduce cognitive </w:t>
      </w:r>
      <w:r w:rsidR="00DC673C">
        <w:rPr>
          <w:rFonts w:cs="Times"/>
        </w:rPr>
        <w:t>work</w:t>
      </w:r>
      <w:r w:rsidR="00DC673C" w:rsidRPr="005B2FA1">
        <w:rPr>
          <w:rFonts w:cs="Times"/>
        </w:rPr>
        <w:t>load can enhance learning outcomes and improve task engagement for these children</w:t>
      </w:r>
      <w:r w:rsidR="000B5201" w:rsidRPr="005B2FA1">
        <w:rPr>
          <w:rFonts w:cs="Times"/>
        </w:rPr>
        <w:t xml:space="preserve"> </w:t>
      </w:r>
      <w:r w:rsidR="00BD131E">
        <w:rPr>
          <w:rFonts w:cs="Times"/>
        </w:rPr>
        <w:t>[</w:t>
      </w:r>
      <w:r w:rsidR="000F2ED3">
        <w:rPr>
          <w:rFonts w:cs="Times"/>
        </w:rPr>
        <w:t>1</w:t>
      </w:r>
      <w:r w:rsidR="001B2239">
        <w:rPr>
          <w:rFonts w:cs="Times"/>
        </w:rPr>
        <w:t>1</w:t>
      </w:r>
      <w:r w:rsidR="00BD131E">
        <w:rPr>
          <w:rFonts w:cs="Times"/>
        </w:rPr>
        <w:t>].</w:t>
      </w:r>
    </w:p>
    <w:p w14:paraId="6F7EC3F5" w14:textId="77777777" w:rsidR="000B5201" w:rsidRPr="005B2FA1" w:rsidRDefault="000B5201" w:rsidP="000B5201">
      <w:pPr>
        <w:pStyle w:val="BodyChar"/>
        <w:rPr>
          <w:rFonts w:cs="Times"/>
        </w:rPr>
      </w:pPr>
    </w:p>
    <w:p w14:paraId="43388BAA" w14:textId="18A9622F" w:rsidR="000B5201" w:rsidRPr="005B2FA1" w:rsidRDefault="000B5201" w:rsidP="000B5201">
      <w:pPr>
        <w:pStyle w:val="BodyChar"/>
        <w:rPr>
          <w:rFonts w:cs="Times"/>
          <w:i/>
          <w:iCs/>
        </w:rPr>
      </w:pPr>
      <w:r w:rsidRPr="005B2FA1">
        <w:rPr>
          <w:rFonts w:cs="Times"/>
          <w:i/>
          <w:iCs/>
        </w:rPr>
        <w:t xml:space="preserve">1.2 Pupil Dilation as a Measure of Cognitive Workload </w:t>
      </w:r>
    </w:p>
    <w:p w14:paraId="6B52DAFD" w14:textId="5DAD1A8A" w:rsidR="000B5201" w:rsidRPr="005B2FA1" w:rsidRDefault="00D467F7" w:rsidP="000B5201">
      <w:pPr>
        <w:pStyle w:val="BodyChar"/>
        <w:rPr>
          <w:rFonts w:cs="Times"/>
        </w:rPr>
      </w:pPr>
      <w:r w:rsidRPr="005B2FA1">
        <w:rPr>
          <w:rFonts w:cs="Times"/>
        </w:rPr>
        <w:t xml:space="preserve">Pupil dilation is a well-established physiological marker of cognitive workload. The autonomic nervous system regulates pupil size, which increases in response to heightened mental effort and cognitive </w:t>
      </w:r>
      <w:r>
        <w:rPr>
          <w:rFonts w:cs="Times"/>
        </w:rPr>
        <w:t>work</w:t>
      </w:r>
      <w:r w:rsidRPr="005B2FA1">
        <w:rPr>
          <w:rFonts w:cs="Times"/>
        </w:rPr>
        <w:t xml:space="preserve">load </w:t>
      </w:r>
      <w:r w:rsidR="00BD131E">
        <w:rPr>
          <w:rFonts w:cs="Times"/>
        </w:rPr>
        <w:t>[</w:t>
      </w:r>
      <w:r w:rsidR="000F2ED3">
        <w:rPr>
          <w:rFonts w:cs="Times"/>
        </w:rPr>
        <w:t>4</w:t>
      </w:r>
      <w:r w:rsidR="00BD131E">
        <w:rPr>
          <w:rFonts w:cs="Times"/>
        </w:rPr>
        <w:t>]</w:t>
      </w:r>
      <w:r w:rsidR="000B5201" w:rsidRPr="005B2FA1">
        <w:rPr>
          <w:rFonts w:cs="Times"/>
        </w:rPr>
        <w:t xml:space="preserve">. Studies have shown that pupil dilation is sensitive to various cognitive demands, including memory load, problem-solving, and language processing </w:t>
      </w:r>
      <w:r w:rsidR="007148BC">
        <w:rPr>
          <w:rFonts w:cs="Times"/>
        </w:rPr>
        <w:t>[</w:t>
      </w:r>
      <w:r w:rsidR="000F2ED3">
        <w:rPr>
          <w:rFonts w:cs="Times"/>
        </w:rPr>
        <w:t>1</w:t>
      </w:r>
      <w:r w:rsidR="001B2239">
        <w:rPr>
          <w:rFonts w:cs="Times"/>
        </w:rPr>
        <w:t>2</w:t>
      </w:r>
      <w:r w:rsidR="000F2ED3">
        <w:rPr>
          <w:rFonts w:cs="Times"/>
        </w:rPr>
        <w:t>,1</w:t>
      </w:r>
      <w:r w:rsidR="001B2239">
        <w:rPr>
          <w:rFonts w:cs="Times"/>
        </w:rPr>
        <w:t>3</w:t>
      </w:r>
      <w:r w:rsidR="007148BC">
        <w:rPr>
          <w:rFonts w:cs="Times"/>
        </w:rPr>
        <w:t>]</w:t>
      </w:r>
      <w:r w:rsidR="000B5201" w:rsidRPr="005B2FA1">
        <w:rPr>
          <w:rFonts w:cs="Times"/>
        </w:rPr>
        <w:t>. In the context of ASDC, measuring pupil dilation can provide insights into the cognitive processes and difficulties experienced by children during reading tasks. This non-invasive measure allows researchers to quantify cognitive workload in real-time, offering a dynamic understanding of how children with ASDC manage cognitive demands.</w:t>
      </w:r>
    </w:p>
    <w:p w14:paraId="79D5241F" w14:textId="77777777" w:rsidR="000B5201" w:rsidRPr="005B2FA1" w:rsidRDefault="000B5201" w:rsidP="000B5201">
      <w:pPr>
        <w:pStyle w:val="BodyChar"/>
        <w:rPr>
          <w:rFonts w:cs="Times"/>
        </w:rPr>
      </w:pPr>
    </w:p>
    <w:p w14:paraId="64A7FAC4" w14:textId="3253F4FA" w:rsidR="000B5201" w:rsidRPr="005B2FA1" w:rsidRDefault="000B5201" w:rsidP="000B5201">
      <w:pPr>
        <w:pStyle w:val="BodyChar"/>
        <w:rPr>
          <w:rFonts w:cs="Times"/>
          <w:i/>
          <w:iCs/>
        </w:rPr>
      </w:pPr>
      <w:r w:rsidRPr="005B2FA1">
        <w:rPr>
          <w:rFonts w:cs="Times"/>
          <w:i/>
          <w:iCs/>
        </w:rPr>
        <w:t xml:space="preserve">1.3 </w:t>
      </w:r>
      <w:r w:rsidR="00CD5491">
        <w:rPr>
          <w:rFonts w:cs="Times"/>
          <w:i/>
          <w:iCs/>
        </w:rPr>
        <w:t xml:space="preserve">The application of </w:t>
      </w:r>
      <w:r w:rsidR="00CD5491" w:rsidRPr="005B2FA1">
        <w:rPr>
          <w:rFonts w:cs="Times"/>
          <w:i/>
          <w:iCs/>
        </w:rPr>
        <w:t>Eye Tracking Technology in Cognitive Workload Assessment</w:t>
      </w:r>
    </w:p>
    <w:p w14:paraId="1FF86B10" w14:textId="029353C7" w:rsidR="000B5201" w:rsidRPr="005B2FA1" w:rsidRDefault="00D467F7" w:rsidP="000B5201">
      <w:pPr>
        <w:pStyle w:val="BodyChar"/>
        <w:rPr>
          <w:rFonts w:cs="Times"/>
        </w:rPr>
      </w:pPr>
      <w:r w:rsidRPr="008B788D">
        <w:rPr>
          <w:rFonts w:cs="Times"/>
        </w:rPr>
        <w:t xml:space="preserve">Technological developments in eye-tracking </w:t>
      </w:r>
      <w:r w:rsidRPr="005B2FA1">
        <w:rPr>
          <w:rFonts w:cs="Times"/>
        </w:rPr>
        <w:t xml:space="preserve">have revolutionized the study of cognitive workload. Eye trackers can accurately measure gaze direction, fixation duration, and pupil size, providing comprehensive data on visual attention and cognitive processing </w:t>
      </w:r>
      <w:r w:rsidR="007148BC">
        <w:rPr>
          <w:rFonts w:cs="Times"/>
        </w:rPr>
        <w:t>[</w:t>
      </w:r>
      <w:r w:rsidR="000F2ED3">
        <w:rPr>
          <w:rFonts w:cs="Times"/>
        </w:rPr>
        <w:t>1</w:t>
      </w:r>
      <w:r w:rsidR="001B2239">
        <w:rPr>
          <w:rFonts w:cs="Times"/>
        </w:rPr>
        <w:t>4</w:t>
      </w:r>
      <w:r w:rsidR="000F2ED3">
        <w:rPr>
          <w:rFonts w:cs="Times"/>
        </w:rPr>
        <w:t>,1</w:t>
      </w:r>
      <w:r w:rsidR="001B2239">
        <w:rPr>
          <w:rFonts w:cs="Times"/>
        </w:rPr>
        <w:t>5</w:t>
      </w:r>
      <w:r w:rsidR="007148BC">
        <w:rPr>
          <w:rFonts w:cs="Times"/>
        </w:rPr>
        <w:t xml:space="preserve">]. </w:t>
      </w:r>
      <w:r w:rsidR="000B5201" w:rsidRPr="005B2FA1">
        <w:rPr>
          <w:rFonts w:cs="Times"/>
        </w:rPr>
        <w:t xml:space="preserve">Tobii Studio is a widely used </w:t>
      </w:r>
      <w:r w:rsidR="000B5201" w:rsidRPr="005B2FA1">
        <w:rPr>
          <w:rFonts w:cs="Times"/>
        </w:rPr>
        <w:lastRenderedPageBreak/>
        <w:t>eye-tracking platform that facilitates detailed analysis of eye movements and pupil dilation</w:t>
      </w:r>
      <w:r w:rsidR="007148BC">
        <w:rPr>
          <w:rFonts w:cs="Times"/>
        </w:rPr>
        <w:t xml:space="preserve"> [</w:t>
      </w:r>
      <w:r w:rsidR="000F2ED3">
        <w:rPr>
          <w:rFonts w:cs="Times"/>
        </w:rPr>
        <w:t>1</w:t>
      </w:r>
      <w:r w:rsidR="001B2239">
        <w:rPr>
          <w:rFonts w:cs="Times"/>
        </w:rPr>
        <w:t>6</w:t>
      </w:r>
      <w:r w:rsidR="007148BC">
        <w:rPr>
          <w:rFonts w:cs="Times"/>
        </w:rPr>
        <w:t>]</w:t>
      </w:r>
      <w:r w:rsidR="000B5201" w:rsidRPr="005B2FA1">
        <w:rPr>
          <w:rFonts w:cs="Times"/>
        </w:rPr>
        <w:t xml:space="preserve">. In cognitive research, Tobii Studio has been employed to investigate reading </w:t>
      </w:r>
      <w:r w:rsidR="000F2ED3" w:rsidRPr="005B2FA1">
        <w:rPr>
          <w:rFonts w:cs="Times"/>
        </w:rPr>
        <w:t>behaviours</w:t>
      </w:r>
      <w:r w:rsidR="000B5201" w:rsidRPr="005B2FA1">
        <w:rPr>
          <w:rFonts w:cs="Times"/>
        </w:rPr>
        <w:t xml:space="preserve">, attention patterns, and cognitive workload in various populations, including children with ASDC </w:t>
      </w:r>
      <w:r w:rsidR="007148BC">
        <w:rPr>
          <w:rFonts w:cs="Times"/>
        </w:rPr>
        <w:t>[1</w:t>
      </w:r>
      <w:r w:rsidR="001B2239">
        <w:rPr>
          <w:rFonts w:cs="Times"/>
        </w:rPr>
        <w:t>7</w:t>
      </w:r>
      <w:r w:rsidR="007148BC">
        <w:rPr>
          <w:rFonts w:cs="Times"/>
        </w:rPr>
        <w:t>]</w:t>
      </w:r>
      <w:r w:rsidR="000B5201" w:rsidRPr="005B2FA1">
        <w:rPr>
          <w:rFonts w:cs="Times"/>
        </w:rPr>
        <w:t>. By integrating eye-tracking data with task performance metrics, researchers can gain a deeper understanding of the cognitive challenges faced by children with ASDC and develop targeted interventions to support their learning</w:t>
      </w:r>
      <w:r w:rsidR="000F2ED3">
        <w:rPr>
          <w:rFonts w:cs="Times"/>
        </w:rPr>
        <w:t xml:space="preserve"> [1</w:t>
      </w:r>
      <w:r w:rsidR="001B2239">
        <w:rPr>
          <w:rFonts w:cs="Times"/>
        </w:rPr>
        <w:t>8</w:t>
      </w:r>
      <w:r w:rsidR="000F2ED3">
        <w:rPr>
          <w:rFonts w:cs="Times"/>
        </w:rPr>
        <w:t>]</w:t>
      </w:r>
      <w:r w:rsidR="000B5201" w:rsidRPr="005B2FA1">
        <w:rPr>
          <w:rFonts w:cs="Times"/>
        </w:rPr>
        <w:t>.</w:t>
      </w:r>
    </w:p>
    <w:p w14:paraId="06126101" w14:textId="77777777" w:rsidR="000B5201" w:rsidRPr="005B2FA1" w:rsidRDefault="000B5201">
      <w:pPr>
        <w:pStyle w:val="BodyChar"/>
        <w:rPr>
          <w:rFonts w:cs="Times"/>
        </w:rPr>
      </w:pPr>
    </w:p>
    <w:p w14:paraId="37C84F5B" w14:textId="3D2AECC4" w:rsidR="00EA3F4B" w:rsidRPr="005B2FA1" w:rsidRDefault="00F62952" w:rsidP="00465D11">
      <w:pPr>
        <w:pStyle w:val="Subtitle1"/>
      </w:pPr>
      <w:r w:rsidRPr="005B2FA1">
        <w:t>Methodology</w:t>
      </w:r>
    </w:p>
    <w:p w14:paraId="7F347A3A" w14:textId="102A08E8" w:rsidR="00EA3F4B" w:rsidRPr="005B2FA1" w:rsidRDefault="002A48DB" w:rsidP="0027319A">
      <w:pPr>
        <w:pStyle w:val="Chap2Heading2"/>
      </w:pPr>
      <w:r w:rsidRPr="005B2FA1">
        <w:t>Participants and Materials</w:t>
      </w:r>
    </w:p>
    <w:p w14:paraId="7A7DCC6E" w14:textId="0E6B5687" w:rsidR="002A48DB" w:rsidRPr="005B2FA1" w:rsidRDefault="002A48DB">
      <w:pPr>
        <w:pStyle w:val="BodyChar"/>
        <w:rPr>
          <w:rFonts w:cs="Times"/>
        </w:rPr>
      </w:pPr>
      <w:r w:rsidRPr="005B2FA1">
        <w:rPr>
          <w:rFonts w:cs="Times"/>
        </w:rPr>
        <w:t>This study included a group of 20 children diagnosed with ASDC, ranging in age from 4 to 13 years. The participants were specifically chosen based on their challenges with reading fluency and other features associated with ASDC. The sample consisted of both adolescents enrolled in national education and those who were not attending school, guaranteeing adequate representation. The exclusion criteria included sensory abnormalities that affected the ability to use eye-tracking technology. An individual testing was carried out in Malay to ensure linguistic consistency. The reading materials included visually appealing graphics on digital cue cards that were suitable for the reader's age. These materials were delivered in a video format to facilitate uninterrupted reading activities.</w:t>
      </w:r>
    </w:p>
    <w:p w14:paraId="4E002C20" w14:textId="554B60BE" w:rsidR="00EA3F4B" w:rsidRPr="005B2FA1" w:rsidRDefault="002A48DB" w:rsidP="0027319A">
      <w:pPr>
        <w:pStyle w:val="Chap2Heading2"/>
      </w:pPr>
      <w:r w:rsidRPr="005B2FA1">
        <w:t>Procedure and Equipment</w:t>
      </w:r>
      <w:r w:rsidR="00EA3F4B" w:rsidRPr="005B2FA1">
        <w:t xml:space="preserve"> </w:t>
      </w:r>
    </w:p>
    <w:p w14:paraId="0058BD4A" w14:textId="1BC1FC4A" w:rsidR="00251C5B" w:rsidRPr="008B788D" w:rsidRDefault="00E46CC9" w:rsidP="00251C5B">
      <w:pPr>
        <w:pStyle w:val="BodyChar"/>
        <w:rPr>
          <w:rFonts w:cs="Times"/>
        </w:rPr>
      </w:pPr>
      <w:r w:rsidRPr="00E46CC9">
        <w:rPr>
          <w:rFonts w:cs="Times"/>
        </w:rPr>
        <w:t xml:space="preserve">Figure 1 shows layout of experiment </w:t>
      </w:r>
      <w:r>
        <w:rPr>
          <w:rFonts w:cs="Times"/>
        </w:rPr>
        <w:t xml:space="preserve">for the conducted experiment. Participants were assisted by their teacher and </w:t>
      </w:r>
      <w:r w:rsidR="00F22000">
        <w:rPr>
          <w:rFonts w:cs="Times"/>
        </w:rPr>
        <w:t>monitored by the researcher during the data collection of reading activities.</w:t>
      </w:r>
      <w:r w:rsidR="00F656C2">
        <w:rPr>
          <w:rFonts w:cs="Times"/>
        </w:rPr>
        <w:t xml:space="preserve"> The eye tracker was set up 60 cm from the participants with 0.5 degrees of accuracy and 60Hz average frequency. </w:t>
      </w:r>
      <w:r w:rsidR="00F22000">
        <w:rPr>
          <w:rFonts w:cs="Times"/>
        </w:rPr>
        <w:t xml:space="preserve"> </w:t>
      </w:r>
      <w:r w:rsidR="00F656C2">
        <w:rPr>
          <w:rFonts w:cs="Times"/>
        </w:rPr>
        <w:t xml:space="preserve">All participant were examined in closed room with calm environment. A 9-point calibration was conducted for each participant before the experiment start to verify the accuracy. </w:t>
      </w:r>
      <w:r w:rsidR="00251C5B">
        <w:rPr>
          <w:rFonts w:cs="Times"/>
        </w:rPr>
        <w:t>The</w:t>
      </w:r>
      <w:r w:rsidR="00251C5B" w:rsidRPr="008B788D">
        <w:rPr>
          <w:rFonts w:cs="Times"/>
        </w:rPr>
        <w:t xml:space="preserve"> digital cue cards were presented as a video to the participants as they completed a structured reading activity</w:t>
      </w:r>
      <w:r w:rsidR="00217B9B">
        <w:rPr>
          <w:rFonts w:cs="Times"/>
        </w:rPr>
        <w:t xml:space="preserve"> as shown in Figure 2</w:t>
      </w:r>
      <w:r w:rsidR="00251C5B" w:rsidRPr="008B788D">
        <w:rPr>
          <w:rFonts w:cs="Times"/>
        </w:rPr>
        <w:t>. The testing was conducted in a controlled laboratory environment, using the think-aloud usability testing method to gather qualitative data on from the participants' cognitive processes. During the test, the participants were encouraged to verbalize their thoughts, providing further findings into their cognitive load and comprehension strategies.</w:t>
      </w:r>
    </w:p>
    <w:p w14:paraId="6762651F" w14:textId="77777777" w:rsidR="00251C5B" w:rsidRPr="008B788D" w:rsidRDefault="00251C5B" w:rsidP="00251C5B">
      <w:pPr>
        <w:pStyle w:val="BodyChar"/>
        <w:rPr>
          <w:rFonts w:cs="Times"/>
        </w:rPr>
      </w:pPr>
    </w:p>
    <w:p w14:paraId="44CE3AAB" w14:textId="63054D49" w:rsidR="00251C5B" w:rsidRPr="008B788D" w:rsidRDefault="00251C5B" w:rsidP="00251C5B">
      <w:pPr>
        <w:pStyle w:val="BodyChar"/>
        <w:rPr>
          <w:rFonts w:cs="Times"/>
        </w:rPr>
      </w:pPr>
      <w:r w:rsidRPr="008B788D">
        <w:rPr>
          <w:rFonts w:cs="Times"/>
        </w:rPr>
        <w:t>The performance measures included the time taken to complete each task on the computer, reflecting the efficiency and effectiveness of reading under different cognitive workload. According to Whiteside</w:t>
      </w:r>
      <w:r w:rsidR="00AB4465">
        <w:rPr>
          <w:rFonts w:cs="Times"/>
        </w:rPr>
        <w:t xml:space="preserve"> [18]</w:t>
      </w:r>
      <w:r w:rsidRPr="008B788D">
        <w:rPr>
          <w:rFonts w:cs="Times"/>
        </w:rPr>
        <w:t>, these metrics can be empirically related to task performance: effectiveness (percent task complete), efficiency (time to complete task), time to learn, and time spent on errors. These measures provide a comprehensive assessment of the participants' reading abilities and cognitive work-load.</w:t>
      </w:r>
    </w:p>
    <w:p w14:paraId="36AD8345" w14:textId="77777777" w:rsidR="00251C5B" w:rsidRPr="008B788D" w:rsidRDefault="00251C5B" w:rsidP="00251C5B">
      <w:pPr>
        <w:pStyle w:val="BodyChar"/>
        <w:rPr>
          <w:rFonts w:cs="Times"/>
        </w:rPr>
      </w:pPr>
    </w:p>
    <w:p w14:paraId="3991BD0B" w14:textId="77777777" w:rsidR="00251C5B" w:rsidRDefault="00251C5B" w:rsidP="00251C5B">
      <w:pPr>
        <w:pStyle w:val="BodyChar"/>
        <w:rPr>
          <w:rFonts w:cs="Times"/>
        </w:rPr>
      </w:pPr>
      <w:r w:rsidRPr="008B788D">
        <w:rPr>
          <w:rFonts w:cs="Times"/>
        </w:rPr>
        <w:t>A Tobii Studio 3.4.8 eye tracker was used to capture eye gaze and pupil dilation data. This advanced eye-tracking system provides precise measurements of visual attention and physiological responses, critical for assessing cognitive workload.</w:t>
      </w:r>
    </w:p>
    <w:p w14:paraId="1A5F1A83" w14:textId="77777777" w:rsidR="00217B9B" w:rsidRDefault="00217B9B" w:rsidP="00251C5B">
      <w:pPr>
        <w:pStyle w:val="BodyChar"/>
        <w:rPr>
          <w:rFonts w:cs="Times"/>
        </w:rPr>
      </w:pPr>
    </w:p>
    <w:p w14:paraId="6095B34B" w14:textId="00E637C4" w:rsidR="00217B9B" w:rsidRDefault="00217B9B" w:rsidP="00217B9B">
      <w:pPr>
        <w:pStyle w:val="BodyChar"/>
        <w:jc w:val="center"/>
        <w:rPr>
          <w:rFonts w:cs="Times"/>
        </w:rPr>
      </w:pPr>
      <w:r w:rsidRPr="005B2FA1">
        <w:rPr>
          <w:rFonts w:cs="Times"/>
          <w:noProof/>
          <w:lang w:val="en-US"/>
        </w:rPr>
        <w:drawing>
          <wp:inline distT="0" distB="0" distL="0" distR="0" wp14:anchorId="70FEA03A" wp14:editId="7355C030">
            <wp:extent cx="1749390" cy="1440000"/>
            <wp:effectExtent l="0" t="0" r="3810" b="8255"/>
            <wp:docPr id="1429413967" name="Picture 14"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13967" name="Picture 14" descr="A diagram of a computer syste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9390" cy="1440000"/>
                    </a:xfrm>
                    <a:prstGeom prst="rect">
                      <a:avLst/>
                    </a:prstGeom>
                  </pic:spPr>
                </pic:pic>
              </a:graphicData>
            </a:graphic>
          </wp:inline>
        </w:drawing>
      </w:r>
      <w:r w:rsidRPr="005B2FA1">
        <w:rPr>
          <w:rFonts w:cs="Times"/>
          <w:noProof/>
          <w:lang w:val="en-US"/>
        </w:rPr>
        <w:drawing>
          <wp:inline distT="0" distB="0" distL="0" distR="0" wp14:anchorId="2D6EE670" wp14:editId="128B115C">
            <wp:extent cx="1954851" cy="1440000"/>
            <wp:effectExtent l="0" t="0" r="7620" b="8255"/>
            <wp:docPr id="85088485" name="Picture 15"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8485" name="Picture 15" descr="A diagram of a computer syste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4851" cy="1440000"/>
                    </a:xfrm>
                    <a:prstGeom prst="rect">
                      <a:avLst/>
                    </a:prstGeom>
                  </pic:spPr>
                </pic:pic>
              </a:graphicData>
            </a:graphic>
          </wp:inline>
        </w:drawing>
      </w:r>
    </w:p>
    <w:p w14:paraId="1382182D" w14:textId="5D0CF3DF" w:rsidR="00217B9B" w:rsidRPr="002A48DB" w:rsidRDefault="00217B9B" w:rsidP="00217B9B">
      <w:pPr>
        <w:pStyle w:val="BodyChar"/>
        <w:jc w:val="center"/>
        <w:rPr>
          <w:rFonts w:cs="Times"/>
          <w:bCs/>
          <w:iCs/>
          <w:lang w:val="en-US"/>
        </w:rPr>
      </w:pPr>
      <w:r w:rsidRPr="002A48DB">
        <w:rPr>
          <w:rFonts w:cs="Times"/>
          <w:b/>
          <w:iCs/>
          <w:lang w:val="en-US"/>
        </w:rPr>
        <w:t xml:space="preserve">Figure </w:t>
      </w:r>
      <w:r w:rsidRPr="002A48DB">
        <w:rPr>
          <w:rFonts w:cs="Times"/>
          <w:b/>
          <w:iCs/>
          <w:lang w:val="en-US"/>
        </w:rPr>
        <w:fldChar w:fldCharType="begin"/>
      </w:r>
      <w:r w:rsidRPr="002A48DB">
        <w:rPr>
          <w:rFonts w:cs="Times"/>
          <w:b/>
          <w:iCs/>
          <w:lang w:val="en-US"/>
        </w:rPr>
        <w:instrText xml:space="preserve"> SEQ Figure \* ARABIC </w:instrText>
      </w:r>
      <w:r w:rsidRPr="002A48DB">
        <w:rPr>
          <w:rFonts w:cs="Times"/>
          <w:b/>
          <w:iCs/>
          <w:lang w:val="en-US"/>
        </w:rPr>
        <w:fldChar w:fldCharType="separate"/>
      </w:r>
      <w:r w:rsidR="008E69E5">
        <w:rPr>
          <w:rFonts w:cs="Times"/>
          <w:b/>
          <w:iCs/>
          <w:noProof/>
          <w:lang w:val="en-US"/>
        </w:rPr>
        <w:t>1</w:t>
      </w:r>
      <w:r w:rsidRPr="002A48DB">
        <w:rPr>
          <w:rFonts w:cs="Times"/>
        </w:rPr>
        <w:fldChar w:fldCharType="end"/>
      </w:r>
      <w:r w:rsidRPr="002A48DB">
        <w:rPr>
          <w:rFonts w:cs="Times"/>
          <w:b/>
          <w:iCs/>
          <w:lang w:val="en-US"/>
        </w:rPr>
        <w:t xml:space="preserve">. </w:t>
      </w:r>
      <w:r w:rsidRPr="002A48DB">
        <w:rPr>
          <w:rFonts w:cs="Times"/>
          <w:bCs/>
          <w:iCs/>
          <w:lang w:val="en-US"/>
        </w:rPr>
        <w:t>Layout of design experiment.</w:t>
      </w:r>
    </w:p>
    <w:p w14:paraId="5C0DABBB" w14:textId="77777777" w:rsidR="00217B9B" w:rsidRDefault="00217B9B" w:rsidP="00251C5B">
      <w:pPr>
        <w:pStyle w:val="BodyChar"/>
        <w:rPr>
          <w:rFonts w:cs="Times"/>
        </w:rPr>
      </w:pPr>
    </w:p>
    <w:p w14:paraId="04E6DC3D" w14:textId="1086C33A" w:rsidR="009838EA" w:rsidRDefault="009838EA" w:rsidP="009838EA">
      <w:pPr>
        <w:pStyle w:val="BodyChar"/>
        <w:jc w:val="center"/>
        <w:rPr>
          <w:rFonts w:cs="Times"/>
        </w:rPr>
      </w:pPr>
      <w:r w:rsidRPr="009838EA">
        <w:rPr>
          <w:rFonts w:ascii="Times New Roman" w:eastAsia="Calibri" w:hAnsi="Times New Roman" w:cs="Arial"/>
          <w:noProof/>
          <w:color w:val="auto"/>
          <w:lang w:val="en-IN"/>
        </w:rPr>
        <w:lastRenderedPageBreak/>
        <w:drawing>
          <wp:inline distT="0" distB="0" distL="0" distR="0" wp14:anchorId="3B4DA405" wp14:editId="5CF169CA">
            <wp:extent cx="1191895" cy="1306195"/>
            <wp:effectExtent l="19050" t="19050" r="27305" b="27305"/>
            <wp:docPr id="687882848" name="Picture 11" descr="A fire with red dots and a red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882848" name="Picture 11" descr="A fire with red dots and a red circl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1895" cy="1306195"/>
                    </a:xfrm>
                    <a:prstGeom prst="rect">
                      <a:avLst/>
                    </a:prstGeom>
                    <a:ln>
                      <a:solidFill>
                        <a:sysClr val="windowText" lastClr="000000"/>
                      </a:solidFill>
                    </a:ln>
                  </pic:spPr>
                </pic:pic>
              </a:graphicData>
            </a:graphic>
          </wp:inline>
        </w:drawing>
      </w:r>
      <w:r w:rsidR="005C2F2E">
        <w:rPr>
          <w:rFonts w:cs="Times"/>
          <w:noProof/>
        </w:rPr>
        <w:drawing>
          <wp:inline distT="0" distB="0" distL="0" distR="0" wp14:anchorId="6D382176" wp14:editId="1D68AEC5">
            <wp:extent cx="1314450" cy="1439545"/>
            <wp:effectExtent l="0" t="0" r="0" b="8255"/>
            <wp:docPr id="1040512184" name="Picture 13" descr="A black square with red dots and a black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12184" name="Picture 13" descr="A black square with red dots and a black rectangle with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4450" cy="1439545"/>
                    </a:xfrm>
                    <a:prstGeom prst="rect">
                      <a:avLst/>
                    </a:prstGeom>
                  </pic:spPr>
                </pic:pic>
              </a:graphicData>
            </a:graphic>
          </wp:inline>
        </w:drawing>
      </w:r>
      <w:r w:rsidR="005C2F2E">
        <w:rPr>
          <w:rFonts w:cs="Times"/>
          <w:noProof/>
        </w:rPr>
        <w:drawing>
          <wp:inline distT="0" distB="0" distL="0" distR="0" wp14:anchorId="1CFC31E2" wp14:editId="12126C38">
            <wp:extent cx="1313815" cy="1439545"/>
            <wp:effectExtent l="0" t="0" r="635" b="8255"/>
            <wp:docPr id="290832582" name="Picture 12" descr="A fire with red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32582" name="Picture 12" descr="A fire with red dots and lines&#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3815" cy="1439545"/>
                    </a:xfrm>
                    <a:prstGeom prst="rect">
                      <a:avLst/>
                    </a:prstGeom>
                  </pic:spPr>
                </pic:pic>
              </a:graphicData>
            </a:graphic>
          </wp:inline>
        </w:drawing>
      </w:r>
    </w:p>
    <w:p w14:paraId="6FE57EE7" w14:textId="77C67DEF" w:rsidR="009838EA" w:rsidRPr="002A48DB" w:rsidRDefault="009838EA" w:rsidP="009838EA">
      <w:pPr>
        <w:pStyle w:val="BodyChar"/>
        <w:jc w:val="center"/>
        <w:rPr>
          <w:rFonts w:cs="Times"/>
          <w:bCs/>
          <w:iCs/>
          <w:lang w:val="en-US"/>
        </w:rPr>
      </w:pPr>
      <w:r w:rsidRPr="002A48DB">
        <w:rPr>
          <w:rFonts w:cs="Times"/>
          <w:b/>
          <w:iCs/>
          <w:lang w:val="en-US"/>
        </w:rPr>
        <w:t xml:space="preserve">Figure </w:t>
      </w:r>
      <w:r w:rsidRPr="002A48DB">
        <w:rPr>
          <w:rFonts w:cs="Times"/>
          <w:b/>
          <w:iCs/>
          <w:lang w:val="en-US"/>
        </w:rPr>
        <w:fldChar w:fldCharType="begin"/>
      </w:r>
      <w:r w:rsidRPr="002A48DB">
        <w:rPr>
          <w:rFonts w:cs="Times"/>
          <w:b/>
          <w:iCs/>
          <w:lang w:val="en-US"/>
        </w:rPr>
        <w:instrText xml:space="preserve"> SEQ Figure \* ARABIC </w:instrText>
      </w:r>
      <w:r w:rsidRPr="002A48DB">
        <w:rPr>
          <w:rFonts w:cs="Times"/>
          <w:b/>
          <w:iCs/>
          <w:lang w:val="en-US"/>
        </w:rPr>
        <w:fldChar w:fldCharType="separate"/>
      </w:r>
      <w:r w:rsidR="008E69E5">
        <w:rPr>
          <w:rFonts w:cs="Times"/>
          <w:b/>
          <w:iCs/>
          <w:noProof/>
          <w:lang w:val="en-US"/>
        </w:rPr>
        <w:t>2</w:t>
      </w:r>
      <w:r w:rsidRPr="002A48DB">
        <w:rPr>
          <w:rFonts w:cs="Times"/>
        </w:rPr>
        <w:fldChar w:fldCharType="end"/>
      </w:r>
      <w:r w:rsidRPr="002A48DB">
        <w:rPr>
          <w:rFonts w:cs="Times"/>
          <w:b/>
          <w:iCs/>
          <w:lang w:val="en-US"/>
        </w:rPr>
        <w:t xml:space="preserve">. </w:t>
      </w:r>
      <w:r w:rsidRPr="009838EA">
        <w:rPr>
          <w:rFonts w:cs="Times"/>
          <w:bCs/>
          <w:iCs/>
          <w:lang w:val="en-US"/>
        </w:rPr>
        <w:t>Digital cue card</w:t>
      </w:r>
      <w:r w:rsidR="008E5898">
        <w:rPr>
          <w:rFonts w:cs="Times"/>
          <w:bCs/>
          <w:iCs/>
          <w:lang w:val="en-US"/>
        </w:rPr>
        <w:t xml:space="preserve"> sample</w:t>
      </w:r>
      <w:r w:rsidRPr="002A48DB">
        <w:rPr>
          <w:rFonts w:cs="Times"/>
          <w:bCs/>
          <w:iCs/>
          <w:lang w:val="en-US"/>
        </w:rPr>
        <w:t>.</w:t>
      </w:r>
    </w:p>
    <w:p w14:paraId="4247FC88" w14:textId="56BD1DDF" w:rsidR="00EA3F4B" w:rsidRPr="005B2FA1" w:rsidRDefault="002A48DB" w:rsidP="0027319A">
      <w:pPr>
        <w:pStyle w:val="Chap2Heading2"/>
      </w:pPr>
      <w:r w:rsidRPr="005B2FA1">
        <w:t xml:space="preserve">Data Collection and </w:t>
      </w:r>
      <w:r w:rsidR="00C4614F">
        <w:t xml:space="preserve">Data </w:t>
      </w:r>
      <w:r w:rsidRPr="005B2FA1">
        <w:t>Analysis</w:t>
      </w:r>
    </w:p>
    <w:p w14:paraId="0014A660" w14:textId="587CCA74" w:rsidR="00C4614F" w:rsidRDefault="00C4614F" w:rsidP="00C4614F">
      <w:pPr>
        <w:pStyle w:val="BodyChar"/>
        <w:rPr>
          <w:rFonts w:cs="Times"/>
        </w:rPr>
      </w:pPr>
      <w:r w:rsidRPr="008B788D">
        <w:rPr>
          <w:rFonts w:cs="Times"/>
        </w:rPr>
        <w:t>Eye gaze and pupil dilation data were collected continuously throughout the reading tasks activities. The Tobii eye tracker recorded the size of the pupils and the direction of the gaze, providing a detailed information on the participants' visual attention and cognitive load.</w:t>
      </w:r>
    </w:p>
    <w:p w14:paraId="333F7210" w14:textId="77777777" w:rsidR="00C4614F" w:rsidRPr="008B788D" w:rsidRDefault="00C4614F" w:rsidP="00C4614F">
      <w:pPr>
        <w:pStyle w:val="BodyChar"/>
        <w:rPr>
          <w:rFonts w:cs="Times"/>
        </w:rPr>
      </w:pPr>
    </w:p>
    <w:p w14:paraId="2407AAB4" w14:textId="77777777" w:rsidR="00C4614F" w:rsidRDefault="00C4614F" w:rsidP="00C4614F">
      <w:pPr>
        <w:pStyle w:val="BodyChar"/>
        <w:rPr>
          <w:rFonts w:cs="Times"/>
        </w:rPr>
      </w:pPr>
      <w:r w:rsidRPr="008B788D">
        <w:rPr>
          <w:rFonts w:cs="Times"/>
        </w:rPr>
        <w:t>The collected data were analysed using the statistical methods, including one-way ANOVA and paired t-tests. The one-way ANOVA assessed the variation in pupil dilation across different cognitive workload levels, while paired t-tests compared the dilation between the left and right eyes. Parameters measured included the degree of pupil dilation and the differences between the left and right eyes, which provide findings for the cognitive workload and potential asymmetries in cognitive processing.</w:t>
      </w:r>
    </w:p>
    <w:p w14:paraId="552C892A" w14:textId="77777777" w:rsidR="00C4614F" w:rsidRPr="008B788D" w:rsidRDefault="00C4614F" w:rsidP="00C4614F">
      <w:pPr>
        <w:pStyle w:val="BodyChar"/>
        <w:rPr>
          <w:rFonts w:cs="Times"/>
        </w:rPr>
      </w:pPr>
    </w:p>
    <w:p w14:paraId="2896FEEE" w14:textId="77777777" w:rsidR="00C4614F" w:rsidRPr="005B2FA1" w:rsidRDefault="00C4614F" w:rsidP="00C4614F">
      <w:pPr>
        <w:pStyle w:val="BodyChar"/>
        <w:rPr>
          <w:rFonts w:cs="Times"/>
        </w:rPr>
      </w:pPr>
      <w:r w:rsidRPr="008B788D">
        <w:rPr>
          <w:rFonts w:cs="Times"/>
        </w:rPr>
        <w:t>By utilizing these rigorous methodologies, this study aims to elucidate the relation-ship between cognitive workload and reading performance among children with ASDC, providing a foundation for developing designed educational interventions.</w:t>
      </w:r>
    </w:p>
    <w:p w14:paraId="2DA2C477" w14:textId="43BEAECD" w:rsidR="002A48DB" w:rsidRPr="005B2FA1" w:rsidRDefault="002A48DB">
      <w:pPr>
        <w:pStyle w:val="BodyChar"/>
        <w:rPr>
          <w:rFonts w:cs="Times"/>
        </w:rPr>
      </w:pPr>
    </w:p>
    <w:p w14:paraId="3C73D7E3" w14:textId="27BC9D91" w:rsidR="002A48DB" w:rsidRPr="002A48DB" w:rsidRDefault="002A48DB" w:rsidP="002A48DB">
      <w:pPr>
        <w:keepNext/>
        <w:overflowPunct w:val="0"/>
        <w:autoSpaceDE w:val="0"/>
        <w:autoSpaceDN w:val="0"/>
        <w:adjustRightInd w:val="0"/>
        <w:spacing w:before="200" w:after="100"/>
        <w:jc w:val="center"/>
        <w:textAlignment w:val="baseline"/>
        <w:rPr>
          <w:rFonts w:cs="Times"/>
          <w:bCs/>
          <w:iCs/>
          <w:szCs w:val="22"/>
          <w:lang w:val="en-US"/>
        </w:rPr>
      </w:pPr>
      <w:r w:rsidRPr="002A48DB">
        <w:rPr>
          <w:rFonts w:cs="Times"/>
          <w:b/>
          <w:iCs/>
          <w:szCs w:val="22"/>
          <w:lang w:val="en-US"/>
        </w:rPr>
        <w:t xml:space="preserve">Table </w:t>
      </w:r>
      <w:r w:rsidRPr="002A48DB">
        <w:rPr>
          <w:rFonts w:cs="Times"/>
          <w:b/>
          <w:iCs/>
          <w:szCs w:val="22"/>
          <w:lang w:val="en-US"/>
        </w:rPr>
        <w:fldChar w:fldCharType="begin"/>
      </w:r>
      <w:r w:rsidRPr="002A48DB">
        <w:rPr>
          <w:rFonts w:cs="Times"/>
          <w:b/>
          <w:iCs/>
          <w:szCs w:val="22"/>
          <w:lang w:val="en-US"/>
        </w:rPr>
        <w:instrText xml:space="preserve"> SEQ Table \* ARABIC </w:instrText>
      </w:r>
      <w:r w:rsidRPr="002A48DB">
        <w:rPr>
          <w:rFonts w:cs="Times"/>
          <w:b/>
          <w:iCs/>
          <w:szCs w:val="22"/>
          <w:lang w:val="en-US"/>
        </w:rPr>
        <w:fldChar w:fldCharType="separate"/>
      </w:r>
      <w:r w:rsidR="008E69E5">
        <w:rPr>
          <w:rFonts w:cs="Times"/>
          <w:b/>
          <w:iCs/>
          <w:noProof/>
          <w:szCs w:val="22"/>
          <w:lang w:val="en-US"/>
        </w:rPr>
        <w:t>1</w:t>
      </w:r>
      <w:r w:rsidRPr="002A48DB">
        <w:rPr>
          <w:rFonts w:cs="Times"/>
          <w:b/>
          <w:iCs/>
          <w:szCs w:val="22"/>
          <w:lang w:val="en-US"/>
        </w:rPr>
        <w:fldChar w:fldCharType="end"/>
      </w:r>
      <w:r w:rsidRPr="002A48DB">
        <w:rPr>
          <w:rFonts w:cs="Times"/>
          <w:b/>
          <w:iCs/>
          <w:szCs w:val="22"/>
          <w:lang w:val="en-US"/>
        </w:rPr>
        <w:t xml:space="preserve">. </w:t>
      </w:r>
      <w:r w:rsidRPr="002A48DB">
        <w:rPr>
          <w:rFonts w:cs="Times"/>
          <w:bCs/>
          <w:iCs/>
          <w:szCs w:val="22"/>
          <w:lang w:val="en-US"/>
        </w:rPr>
        <w:t>Characteristics of images and texts included in the experiment.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126"/>
        <w:gridCol w:w="2835"/>
        <w:gridCol w:w="2410"/>
      </w:tblGrid>
      <w:tr w:rsidR="002A48DB" w:rsidRPr="002A48DB" w14:paraId="4C9F9220" w14:textId="77777777" w:rsidTr="002A48DB">
        <w:trPr>
          <w:cantSplit/>
          <w:trHeight w:val="275"/>
          <w:jc w:val="center"/>
        </w:trPr>
        <w:tc>
          <w:tcPr>
            <w:tcW w:w="1276" w:type="dxa"/>
            <w:tcBorders>
              <w:top w:val="single" w:sz="4" w:space="0" w:color="auto"/>
              <w:bottom w:val="single" w:sz="4" w:space="0" w:color="auto"/>
            </w:tcBorders>
          </w:tcPr>
          <w:p w14:paraId="432DECDE" w14:textId="77777777" w:rsidR="002A48DB" w:rsidRPr="005B2FA1" w:rsidRDefault="002A48DB" w:rsidP="002A48DB">
            <w:pPr>
              <w:pStyle w:val="section"/>
              <w:rPr>
                <w:rFonts w:cs="Times"/>
                <w:lang w:val="en-US"/>
              </w:rPr>
            </w:pPr>
            <w:r w:rsidRPr="005B2FA1">
              <w:rPr>
                <w:rFonts w:cs="Times"/>
                <w:lang w:val="en-US"/>
              </w:rPr>
              <w:t>Levels</w:t>
            </w:r>
          </w:p>
        </w:tc>
        <w:tc>
          <w:tcPr>
            <w:tcW w:w="2126" w:type="dxa"/>
            <w:tcBorders>
              <w:top w:val="single" w:sz="4" w:space="0" w:color="auto"/>
              <w:bottom w:val="single" w:sz="4" w:space="0" w:color="auto"/>
            </w:tcBorders>
          </w:tcPr>
          <w:p w14:paraId="53E4CC7A"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b/>
                <w:bCs/>
                <w:szCs w:val="22"/>
                <w:lang w:val="en-US"/>
              </w:rPr>
            </w:pPr>
            <w:r w:rsidRPr="002A48DB">
              <w:rPr>
                <w:rFonts w:cs="Times"/>
                <w:b/>
                <w:bCs/>
                <w:szCs w:val="22"/>
                <w:lang w:val="en-US"/>
              </w:rPr>
              <w:t>Low</w:t>
            </w:r>
          </w:p>
        </w:tc>
        <w:tc>
          <w:tcPr>
            <w:tcW w:w="2835" w:type="dxa"/>
            <w:tcBorders>
              <w:top w:val="single" w:sz="4" w:space="0" w:color="auto"/>
              <w:bottom w:val="single" w:sz="4" w:space="0" w:color="auto"/>
            </w:tcBorders>
          </w:tcPr>
          <w:p w14:paraId="0B853745"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b/>
                <w:bCs/>
                <w:szCs w:val="22"/>
                <w:lang w:val="en-US"/>
              </w:rPr>
            </w:pPr>
            <w:r w:rsidRPr="002A48DB">
              <w:rPr>
                <w:rFonts w:cs="Times"/>
                <w:b/>
                <w:bCs/>
                <w:szCs w:val="22"/>
                <w:lang w:val="en-US"/>
              </w:rPr>
              <w:t>Moderate</w:t>
            </w:r>
          </w:p>
        </w:tc>
        <w:tc>
          <w:tcPr>
            <w:tcW w:w="2410" w:type="dxa"/>
            <w:tcBorders>
              <w:top w:val="single" w:sz="4" w:space="0" w:color="auto"/>
              <w:bottom w:val="single" w:sz="4" w:space="0" w:color="auto"/>
            </w:tcBorders>
          </w:tcPr>
          <w:p w14:paraId="10A60878"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b/>
                <w:bCs/>
                <w:szCs w:val="22"/>
                <w:lang w:val="en-US"/>
              </w:rPr>
            </w:pPr>
            <w:r w:rsidRPr="002A48DB">
              <w:rPr>
                <w:rFonts w:cs="Times"/>
                <w:b/>
                <w:bCs/>
                <w:szCs w:val="22"/>
                <w:lang w:val="en-US"/>
              </w:rPr>
              <w:t>High</w:t>
            </w:r>
          </w:p>
        </w:tc>
      </w:tr>
      <w:tr w:rsidR="002A48DB" w:rsidRPr="002A48DB" w14:paraId="15F08896" w14:textId="77777777" w:rsidTr="002A48DB">
        <w:trPr>
          <w:jc w:val="center"/>
        </w:trPr>
        <w:tc>
          <w:tcPr>
            <w:tcW w:w="1276" w:type="dxa"/>
            <w:tcBorders>
              <w:top w:val="single" w:sz="4" w:space="0" w:color="auto"/>
            </w:tcBorders>
          </w:tcPr>
          <w:p w14:paraId="20B5A7C0"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r w:rsidRPr="002A48DB">
              <w:rPr>
                <w:rFonts w:cs="Times"/>
                <w:szCs w:val="22"/>
                <w:lang w:val="en-US"/>
              </w:rPr>
              <w:t>Low</w:t>
            </w:r>
          </w:p>
        </w:tc>
        <w:tc>
          <w:tcPr>
            <w:tcW w:w="2126" w:type="dxa"/>
            <w:tcBorders>
              <w:top w:val="single" w:sz="4" w:space="0" w:color="auto"/>
            </w:tcBorders>
          </w:tcPr>
          <w:p w14:paraId="73F12738"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r w:rsidRPr="002A48DB">
              <w:rPr>
                <w:rFonts w:cs="Times"/>
                <w:szCs w:val="22"/>
                <w:lang w:val="en-US"/>
              </w:rPr>
              <w:t>Identifying Alphabets &amp; Image</w:t>
            </w:r>
          </w:p>
        </w:tc>
        <w:tc>
          <w:tcPr>
            <w:tcW w:w="2835" w:type="dxa"/>
            <w:tcBorders>
              <w:top w:val="single" w:sz="4" w:space="0" w:color="auto"/>
            </w:tcBorders>
          </w:tcPr>
          <w:p w14:paraId="057A9193" w14:textId="77777777" w:rsidR="002A48DB" w:rsidRPr="002A48DB" w:rsidRDefault="002A48DB" w:rsidP="00AB4465">
            <w:pPr>
              <w:keepNext/>
              <w:keepLines/>
              <w:tabs>
                <w:tab w:val="left" w:pos="1560"/>
              </w:tabs>
              <w:overflowPunct w:val="0"/>
              <w:autoSpaceDE w:val="0"/>
              <w:autoSpaceDN w:val="0"/>
              <w:adjustRightInd w:val="0"/>
              <w:ind w:left="28"/>
              <w:jc w:val="left"/>
              <w:textAlignment w:val="baseline"/>
              <w:rPr>
                <w:rFonts w:cs="Times"/>
                <w:szCs w:val="22"/>
                <w:lang w:val="en-US"/>
              </w:rPr>
            </w:pPr>
            <w:r w:rsidRPr="002A48DB">
              <w:rPr>
                <w:rFonts w:cs="Times"/>
                <w:szCs w:val="22"/>
                <w:lang w:val="en-US"/>
              </w:rPr>
              <w:t>Spelling with two syllable &amp; Image Identification</w:t>
            </w:r>
          </w:p>
        </w:tc>
        <w:tc>
          <w:tcPr>
            <w:tcW w:w="2410" w:type="dxa"/>
            <w:tcBorders>
              <w:top w:val="single" w:sz="4" w:space="0" w:color="auto"/>
            </w:tcBorders>
          </w:tcPr>
          <w:p w14:paraId="4A2F5C30" w14:textId="77777777" w:rsidR="002A48DB" w:rsidRPr="002A48DB" w:rsidRDefault="002A48DB" w:rsidP="00AB4465">
            <w:pPr>
              <w:keepNext/>
              <w:keepLines/>
              <w:tabs>
                <w:tab w:val="left" w:pos="1560"/>
              </w:tabs>
              <w:overflowPunct w:val="0"/>
              <w:autoSpaceDE w:val="0"/>
              <w:autoSpaceDN w:val="0"/>
              <w:adjustRightInd w:val="0"/>
              <w:ind w:left="28"/>
              <w:jc w:val="left"/>
              <w:textAlignment w:val="baseline"/>
              <w:rPr>
                <w:rFonts w:cs="Times"/>
                <w:szCs w:val="22"/>
                <w:lang w:val="en-US"/>
              </w:rPr>
            </w:pPr>
            <w:r w:rsidRPr="002A48DB">
              <w:rPr>
                <w:rFonts w:cs="Times"/>
                <w:szCs w:val="22"/>
                <w:lang w:val="en-US"/>
              </w:rPr>
              <w:t>Image, Spelling &amp; Fill in the blanks with three syllables</w:t>
            </w:r>
          </w:p>
        </w:tc>
      </w:tr>
      <w:tr w:rsidR="002A48DB" w:rsidRPr="002A48DB" w14:paraId="3B1B2BE6" w14:textId="77777777" w:rsidTr="002A48DB">
        <w:trPr>
          <w:jc w:val="center"/>
        </w:trPr>
        <w:tc>
          <w:tcPr>
            <w:tcW w:w="1276" w:type="dxa"/>
          </w:tcPr>
          <w:p w14:paraId="47B4B297"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r w:rsidRPr="002A48DB">
              <w:rPr>
                <w:rFonts w:cs="Times"/>
                <w:szCs w:val="22"/>
                <w:lang w:val="en-US"/>
              </w:rPr>
              <w:t>Moderate</w:t>
            </w:r>
          </w:p>
        </w:tc>
        <w:tc>
          <w:tcPr>
            <w:tcW w:w="2126" w:type="dxa"/>
          </w:tcPr>
          <w:p w14:paraId="7A342B5C"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r w:rsidRPr="002A48DB">
              <w:rPr>
                <w:rFonts w:cs="Times"/>
                <w:szCs w:val="22"/>
                <w:lang w:val="en-US"/>
              </w:rPr>
              <w:t>Image &amp; Words</w:t>
            </w:r>
          </w:p>
          <w:p w14:paraId="3E7066D4"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p>
        </w:tc>
        <w:tc>
          <w:tcPr>
            <w:tcW w:w="2835" w:type="dxa"/>
          </w:tcPr>
          <w:p w14:paraId="792596F9" w14:textId="77777777" w:rsidR="002A48DB" w:rsidRPr="002A48DB" w:rsidRDefault="002A48DB" w:rsidP="00AB4465">
            <w:pPr>
              <w:keepNext/>
              <w:keepLines/>
              <w:tabs>
                <w:tab w:val="left" w:pos="1560"/>
              </w:tabs>
              <w:overflowPunct w:val="0"/>
              <w:autoSpaceDE w:val="0"/>
              <w:autoSpaceDN w:val="0"/>
              <w:adjustRightInd w:val="0"/>
              <w:ind w:left="28"/>
              <w:jc w:val="left"/>
              <w:textAlignment w:val="baseline"/>
              <w:rPr>
                <w:rFonts w:cs="Times"/>
                <w:szCs w:val="22"/>
                <w:lang w:val="en-US"/>
              </w:rPr>
            </w:pPr>
            <w:r w:rsidRPr="002A48DB">
              <w:rPr>
                <w:rFonts w:cs="Times"/>
                <w:szCs w:val="22"/>
                <w:lang w:val="en-US"/>
              </w:rPr>
              <w:t>Image &amp; Spelling Identification with two syllables</w:t>
            </w:r>
          </w:p>
        </w:tc>
        <w:tc>
          <w:tcPr>
            <w:tcW w:w="2410" w:type="dxa"/>
          </w:tcPr>
          <w:p w14:paraId="321DC4FF"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p>
        </w:tc>
      </w:tr>
      <w:tr w:rsidR="002A48DB" w:rsidRPr="002A48DB" w14:paraId="5DCA38A3" w14:textId="77777777" w:rsidTr="002A48DB">
        <w:trPr>
          <w:jc w:val="center"/>
        </w:trPr>
        <w:tc>
          <w:tcPr>
            <w:tcW w:w="1276" w:type="dxa"/>
            <w:tcBorders>
              <w:bottom w:val="single" w:sz="4" w:space="0" w:color="auto"/>
            </w:tcBorders>
          </w:tcPr>
          <w:p w14:paraId="1C6FF86A"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r w:rsidRPr="002A48DB">
              <w:rPr>
                <w:rFonts w:cs="Times"/>
                <w:szCs w:val="22"/>
                <w:lang w:val="en-US"/>
              </w:rPr>
              <w:t>High</w:t>
            </w:r>
          </w:p>
        </w:tc>
        <w:tc>
          <w:tcPr>
            <w:tcW w:w="2126" w:type="dxa"/>
            <w:tcBorders>
              <w:bottom w:val="single" w:sz="4" w:space="0" w:color="auto"/>
            </w:tcBorders>
          </w:tcPr>
          <w:p w14:paraId="0E99B687"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r w:rsidRPr="002A48DB">
              <w:rPr>
                <w:rFonts w:cs="Times"/>
                <w:szCs w:val="22"/>
                <w:lang w:val="en-US"/>
              </w:rPr>
              <w:t>Image &amp; syllable</w:t>
            </w:r>
          </w:p>
        </w:tc>
        <w:tc>
          <w:tcPr>
            <w:tcW w:w="2835" w:type="dxa"/>
            <w:tcBorders>
              <w:bottom w:val="single" w:sz="4" w:space="0" w:color="auto"/>
            </w:tcBorders>
          </w:tcPr>
          <w:p w14:paraId="39FC1F7A"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p>
        </w:tc>
        <w:tc>
          <w:tcPr>
            <w:tcW w:w="2410" w:type="dxa"/>
            <w:tcBorders>
              <w:bottom w:val="single" w:sz="4" w:space="0" w:color="auto"/>
            </w:tcBorders>
          </w:tcPr>
          <w:p w14:paraId="18505B46" w14:textId="77777777" w:rsidR="002A48DB" w:rsidRPr="002A48DB" w:rsidRDefault="002A48DB" w:rsidP="002A48DB">
            <w:pPr>
              <w:keepNext/>
              <w:keepLines/>
              <w:tabs>
                <w:tab w:val="left" w:pos="1560"/>
              </w:tabs>
              <w:overflowPunct w:val="0"/>
              <w:autoSpaceDE w:val="0"/>
              <w:autoSpaceDN w:val="0"/>
              <w:adjustRightInd w:val="0"/>
              <w:ind w:left="28"/>
              <w:textAlignment w:val="baseline"/>
              <w:rPr>
                <w:rFonts w:cs="Times"/>
                <w:szCs w:val="22"/>
                <w:lang w:val="en-US"/>
              </w:rPr>
            </w:pPr>
          </w:p>
        </w:tc>
      </w:tr>
    </w:tbl>
    <w:p w14:paraId="3E7B3D8A" w14:textId="77777777" w:rsidR="002A48DB" w:rsidRPr="005B2FA1" w:rsidRDefault="002A48DB">
      <w:pPr>
        <w:pStyle w:val="BodyChar"/>
        <w:rPr>
          <w:rFonts w:cs="Times"/>
        </w:rPr>
      </w:pPr>
    </w:p>
    <w:p w14:paraId="4DE0C44E" w14:textId="77777777" w:rsidR="002A48DB" w:rsidRPr="005B2FA1" w:rsidRDefault="002A48DB">
      <w:pPr>
        <w:pStyle w:val="BodyChar"/>
        <w:rPr>
          <w:rFonts w:cs="Times"/>
        </w:rPr>
      </w:pPr>
    </w:p>
    <w:p w14:paraId="6C92F464" w14:textId="6D516A62" w:rsidR="002A48DB" w:rsidRPr="005B2FA1" w:rsidRDefault="005B2FA1" w:rsidP="005B2FA1">
      <w:pPr>
        <w:pStyle w:val="Subtitle1"/>
      </w:pPr>
      <w:r w:rsidRPr="005B2FA1">
        <w:t>Results and Discussion</w:t>
      </w:r>
    </w:p>
    <w:p w14:paraId="55DB9EB1" w14:textId="21AFAA7E" w:rsidR="00D8570C" w:rsidRPr="009F70C9" w:rsidRDefault="00D8570C" w:rsidP="00BE4962">
      <w:pPr>
        <w:pStyle w:val="Cap3Heading2"/>
      </w:pPr>
      <w:r w:rsidRPr="009F70C9">
        <w:t xml:space="preserve">Pupil Dilation and Cognitive Workload Assessment </w:t>
      </w:r>
    </w:p>
    <w:p w14:paraId="40789BF5" w14:textId="77777777" w:rsidR="00D8570C" w:rsidRDefault="00D8570C" w:rsidP="00D8570C">
      <w:pPr>
        <w:rPr>
          <w:rFonts w:cs="Times"/>
        </w:rPr>
      </w:pPr>
      <w:r w:rsidRPr="008B788D">
        <w:rPr>
          <w:rFonts w:cs="Times"/>
        </w:rPr>
        <w:t>The data analysis of pupil dilation using one-way ANOVA revealed significant differences in eye dilation scores corresponding to varying levels of cognitive work-load during reading tasks among ASDC children. Additionally, the ANOVA results in Table 1 indicated a significant variation in pupil dilation across low, moderate, and high cognitive workload levels (DF 2, 12439 = 255.529, p &lt; 0.05). These findings illustrate the relationship between pupil dilation and the cognitive demands of reading tasks, reflecting the increased mental effort required as task difficulty increases.</w:t>
      </w:r>
    </w:p>
    <w:p w14:paraId="6E03D3B4" w14:textId="77777777" w:rsidR="00D8570C" w:rsidRDefault="00D8570C" w:rsidP="00D8570C">
      <w:pPr>
        <w:rPr>
          <w:rFonts w:cs="Times"/>
        </w:rPr>
      </w:pPr>
    </w:p>
    <w:p w14:paraId="23DD8818" w14:textId="77777777" w:rsidR="00D8570C" w:rsidRDefault="00D8570C" w:rsidP="00D8570C">
      <w:pPr>
        <w:rPr>
          <w:rFonts w:cs="Times"/>
        </w:rPr>
      </w:pPr>
    </w:p>
    <w:p w14:paraId="04BAC32F" w14:textId="77777777" w:rsidR="00D8570C" w:rsidRDefault="00D8570C" w:rsidP="00D8570C">
      <w:pPr>
        <w:rPr>
          <w:rFonts w:cs="Times"/>
        </w:rPr>
      </w:pPr>
    </w:p>
    <w:p w14:paraId="0BDE99F9" w14:textId="77777777" w:rsidR="00D8570C" w:rsidRPr="005B2FA1" w:rsidRDefault="00D8570C" w:rsidP="00D8570C">
      <w:pPr>
        <w:keepNext/>
        <w:overflowPunct w:val="0"/>
        <w:autoSpaceDE w:val="0"/>
        <w:autoSpaceDN w:val="0"/>
        <w:adjustRightInd w:val="0"/>
        <w:spacing w:before="200" w:after="100"/>
        <w:jc w:val="center"/>
        <w:textAlignment w:val="baseline"/>
        <w:rPr>
          <w:rFonts w:cs="Times"/>
          <w:b/>
          <w:iCs/>
          <w:szCs w:val="22"/>
          <w:lang w:val="en-US"/>
        </w:rPr>
      </w:pPr>
      <w:r w:rsidRPr="005B2FA1">
        <w:rPr>
          <w:rFonts w:cs="Times"/>
          <w:b/>
          <w:iCs/>
          <w:szCs w:val="22"/>
          <w:lang w:val="en-US"/>
        </w:rPr>
        <w:lastRenderedPageBreak/>
        <w:t xml:space="preserve">Table 2. </w:t>
      </w:r>
      <w:r w:rsidRPr="005B2FA1">
        <w:rPr>
          <w:rFonts w:cs="Times"/>
          <w:bCs/>
          <w:iCs/>
          <w:szCs w:val="22"/>
          <w:lang w:val="en-US"/>
        </w:rPr>
        <w:t>A paired t-test left and right eye comparison.</w:t>
      </w:r>
    </w:p>
    <w:tbl>
      <w:tblPr>
        <w:tblW w:w="5000" w:type="pct"/>
        <w:jc w:val="center"/>
        <w:tblLook w:val="04A0" w:firstRow="1" w:lastRow="0" w:firstColumn="1" w:lastColumn="0" w:noHBand="0" w:noVBand="1"/>
      </w:tblPr>
      <w:tblGrid>
        <w:gridCol w:w="2045"/>
        <w:gridCol w:w="1676"/>
        <w:gridCol w:w="1103"/>
        <w:gridCol w:w="1241"/>
        <w:gridCol w:w="1907"/>
        <w:gridCol w:w="1099"/>
      </w:tblGrid>
      <w:tr w:rsidR="00D8570C" w:rsidRPr="005B2FA1" w14:paraId="2B75CF70" w14:textId="77777777" w:rsidTr="00790FBA">
        <w:trPr>
          <w:trHeight w:hRule="exact" w:val="284"/>
          <w:jc w:val="center"/>
        </w:trPr>
        <w:tc>
          <w:tcPr>
            <w:tcW w:w="1127" w:type="pct"/>
            <w:tcBorders>
              <w:top w:val="single" w:sz="4" w:space="0" w:color="auto"/>
              <w:left w:val="nil"/>
              <w:bottom w:val="single" w:sz="4" w:space="0" w:color="auto"/>
              <w:right w:val="nil"/>
            </w:tcBorders>
            <w:shd w:val="clear" w:color="auto" w:fill="auto"/>
            <w:vAlign w:val="bottom"/>
            <w:hideMark/>
          </w:tcPr>
          <w:p w14:paraId="75C5AC43" w14:textId="77777777" w:rsidR="00D8570C" w:rsidRPr="005B2FA1" w:rsidRDefault="00D8570C" w:rsidP="00790FBA">
            <w:pPr>
              <w:spacing w:line="260" w:lineRule="exact"/>
              <w:rPr>
                <w:rFonts w:eastAsia="Calibri" w:cs="Times"/>
                <w:b/>
                <w:bCs/>
                <w:sz w:val="20"/>
                <w:lang w:val="en-MY"/>
              </w:rPr>
            </w:pPr>
            <w:r w:rsidRPr="005B2FA1">
              <w:rPr>
                <w:rFonts w:eastAsia="Calibri" w:cs="Times"/>
                <w:b/>
                <w:bCs/>
                <w:sz w:val="20"/>
                <w:lang w:val="en-MY"/>
              </w:rPr>
              <w:t>Right</w:t>
            </w:r>
          </w:p>
        </w:tc>
        <w:tc>
          <w:tcPr>
            <w:tcW w:w="924" w:type="pct"/>
            <w:tcBorders>
              <w:top w:val="single" w:sz="4" w:space="0" w:color="auto"/>
              <w:left w:val="nil"/>
              <w:bottom w:val="single" w:sz="4" w:space="0" w:color="auto"/>
              <w:right w:val="nil"/>
            </w:tcBorders>
            <w:shd w:val="clear" w:color="auto" w:fill="auto"/>
            <w:vAlign w:val="center"/>
            <w:hideMark/>
          </w:tcPr>
          <w:p w14:paraId="3B6E7921" w14:textId="77777777" w:rsidR="00D8570C" w:rsidRPr="005B2FA1" w:rsidRDefault="00D8570C" w:rsidP="00790FBA">
            <w:pPr>
              <w:spacing w:line="260" w:lineRule="exact"/>
              <w:rPr>
                <w:rFonts w:eastAsia="Calibri" w:cs="Times"/>
                <w:b/>
                <w:bCs/>
                <w:sz w:val="20"/>
                <w:lang w:val="en-MY"/>
              </w:rPr>
            </w:pPr>
            <w:r w:rsidRPr="005B2FA1">
              <w:rPr>
                <w:rFonts w:eastAsia="Calibri" w:cs="Times"/>
                <w:b/>
                <w:bCs/>
                <w:sz w:val="20"/>
                <w:lang w:val="en-MY"/>
              </w:rPr>
              <w:t>N</w:t>
            </w:r>
          </w:p>
        </w:tc>
        <w:tc>
          <w:tcPr>
            <w:tcW w:w="608" w:type="pct"/>
            <w:tcBorders>
              <w:top w:val="single" w:sz="4" w:space="0" w:color="auto"/>
              <w:left w:val="nil"/>
              <w:bottom w:val="single" w:sz="4" w:space="0" w:color="auto"/>
              <w:right w:val="nil"/>
            </w:tcBorders>
            <w:shd w:val="clear" w:color="auto" w:fill="auto"/>
            <w:vAlign w:val="center"/>
            <w:hideMark/>
          </w:tcPr>
          <w:p w14:paraId="1829CB52" w14:textId="77777777" w:rsidR="00D8570C" w:rsidRPr="005B2FA1" w:rsidRDefault="00D8570C" w:rsidP="00790FBA">
            <w:pPr>
              <w:spacing w:line="260" w:lineRule="exact"/>
              <w:rPr>
                <w:rFonts w:eastAsia="Calibri" w:cs="Times"/>
                <w:b/>
                <w:bCs/>
                <w:sz w:val="20"/>
                <w:lang w:val="en-MY"/>
              </w:rPr>
            </w:pPr>
            <w:r w:rsidRPr="005B2FA1">
              <w:rPr>
                <w:rFonts w:eastAsia="Calibri" w:cs="Times"/>
                <w:b/>
                <w:bCs/>
                <w:sz w:val="20"/>
                <w:lang w:val="en-MY"/>
              </w:rPr>
              <w:t>Mean</w:t>
            </w:r>
          </w:p>
        </w:tc>
        <w:tc>
          <w:tcPr>
            <w:tcW w:w="684" w:type="pct"/>
            <w:tcBorders>
              <w:top w:val="single" w:sz="4" w:space="0" w:color="auto"/>
              <w:left w:val="nil"/>
              <w:bottom w:val="single" w:sz="4" w:space="0" w:color="auto"/>
              <w:right w:val="nil"/>
            </w:tcBorders>
            <w:shd w:val="clear" w:color="auto" w:fill="auto"/>
            <w:vAlign w:val="center"/>
            <w:hideMark/>
          </w:tcPr>
          <w:p w14:paraId="1669C496" w14:textId="77777777" w:rsidR="00D8570C" w:rsidRPr="005B2FA1" w:rsidRDefault="00D8570C" w:rsidP="00790FBA">
            <w:pPr>
              <w:spacing w:line="260" w:lineRule="exact"/>
              <w:rPr>
                <w:rFonts w:eastAsia="Calibri" w:cs="Times"/>
                <w:b/>
                <w:bCs/>
                <w:sz w:val="20"/>
                <w:lang w:val="en-MY"/>
              </w:rPr>
            </w:pPr>
            <w:r w:rsidRPr="005B2FA1">
              <w:rPr>
                <w:rFonts w:eastAsia="Calibri" w:cs="Times"/>
                <w:b/>
                <w:bCs/>
                <w:sz w:val="20"/>
                <w:lang w:val="en-MY"/>
              </w:rPr>
              <w:t>SD</w:t>
            </w:r>
          </w:p>
        </w:tc>
        <w:tc>
          <w:tcPr>
            <w:tcW w:w="1051" w:type="pct"/>
            <w:tcBorders>
              <w:top w:val="single" w:sz="4" w:space="0" w:color="auto"/>
              <w:left w:val="nil"/>
              <w:bottom w:val="single" w:sz="4" w:space="0" w:color="auto"/>
              <w:right w:val="nil"/>
            </w:tcBorders>
            <w:shd w:val="clear" w:color="auto" w:fill="auto"/>
            <w:noWrap/>
            <w:vAlign w:val="center"/>
            <w:hideMark/>
          </w:tcPr>
          <w:p w14:paraId="72A76004" w14:textId="77777777" w:rsidR="00D8570C" w:rsidRPr="005B2FA1" w:rsidRDefault="00D8570C" w:rsidP="00790FBA">
            <w:pPr>
              <w:spacing w:line="260" w:lineRule="exact"/>
              <w:rPr>
                <w:rFonts w:eastAsia="Calibri" w:cs="Times"/>
                <w:b/>
                <w:bCs/>
                <w:sz w:val="20"/>
                <w:lang w:val="en-MY"/>
              </w:rPr>
            </w:pPr>
            <w:r w:rsidRPr="005B2FA1">
              <w:rPr>
                <w:rFonts w:eastAsia="Calibri" w:cs="Times"/>
                <w:b/>
                <w:bCs/>
                <w:sz w:val="20"/>
                <w:lang w:val="en-MY"/>
              </w:rPr>
              <w:t>F</w:t>
            </w:r>
          </w:p>
        </w:tc>
        <w:tc>
          <w:tcPr>
            <w:tcW w:w="606" w:type="pct"/>
            <w:tcBorders>
              <w:top w:val="single" w:sz="4" w:space="0" w:color="auto"/>
              <w:left w:val="nil"/>
              <w:bottom w:val="single" w:sz="4" w:space="0" w:color="auto"/>
              <w:right w:val="nil"/>
            </w:tcBorders>
            <w:shd w:val="clear" w:color="auto" w:fill="auto"/>
            <w:vAlign w:val="center"/>
            <w:hideMark/>
          </w:tcPr>
          <w:p w14:paraId="1A1B7C21" w14:textId="77777777" w:rsidR="00D8570C" w:rsidRPr="005B2FA1" w:rsidRDefault="00D8570C" w:rsidP="00790FBA">
            <w:pPr>
              <w:spacing w:line="260" w:lineRule="exact"/>
              <w:rPr>
                <w:rFonts w:eastAsia="Calibri" w:cs="Times"/>
                <w:b/>
                <w:bCs/>
                <w:sz w:val="20"/>
                <w:lang w:val="en-MY"/>
              </w:rPr>
            </w:pPr>
            <w:r w:rsidRPr="005B2FA1">
              <w:rPr>
                <w:rFonts w:eastAsia="Calibri" w:cs="Times"/>
                <w:b/>
                <w:bCs/>
                <w:sz w:val="20"/>
                <w:lang w:val="en-MY"/>
              </w:rPr>
              <w:t>Sig</w:t>
            </w:r>
          </w:p>
        </w:tc>
      </w:tr>
      <w:tr w:rsidR="00D8570C" w:rsidRPr="005B2FA1" w14:paraId="4F59A67C" w14:textId="77777777" w:rsidTr="00790FBA">
        <w:trPr>
          <w:trHeight w:hRule="exact" w:val="284"/>
          <w:jc w:val="center"/>
        </w:trPr>
        <w:tc>
          <w:tcPr>
            <w:tcW w:w="1127" w:type="pct"/>
            <w:tcBorders>
              <w:top w:val="nil"/>
              <w:left w:val="nil"/>
              <w:bottom w:val="nil"/>
              <w:right w:val="nil"/>
            </w:tcBorders>
            <w:shd w:val="clear" w:color="auto" w:fill="auto"/>
            <w:hideMark/>
          </w:tcPr>
          <w:p w14:paraId="61A3C02C"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Low</w:t>
            </w:r>
          </w:p>
        </w:tc>
        <w:tc>
          <w:tcPr>
            <w:tcW w:w="924" w:type="pct"/>
            <w:tcBorders>
              <w:top w:val="nil"/>
              <w:left w:val="nil"/>
              <w:bottom w:val="nil"/>
              <w:right w:val="nil"/>
            </w:tcBorders>
            <w:shd w:val="clear" w:color="auto" w:fill="auto"/>
            <w:noWrap/>
            <w:vAlign w:val="center"/>
            <w:hideMark/>
          </w:tcPr>
          <w:p w14:paraId="62103292"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3625</w:t>
            </w:r>
          </w:p>
        </w:tc>
        <w:tc>
          <w:tcPr>
            <w:tcW w:w="608" w:type="pct"/>
            <w:tcBorders>
              <w:top w:val="nil"/>
              <w:left w:val="nil"/>
              <w:bottom w:val="nil"/>
              <w:right w:val="nil"/>
            </w:tcBorders>
            <w:shd w:val="clear" w:color="auto" w:fill="auto"/>
            <w:noWrap/>
            <w:vAlign w:val="center"/>
            <w:hideMark/>
          </w:tcPr>
          <w:p w14:paraId="2270FC08"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3.201</w:t>
            </w:r>
          </w:p>
        </w:tc>
        <w:tc>
          <w:tcPr>
            <w:tcW w:w="684" w:type="pct"/>
            <w:tcBorders>
              <w:top w:val="nil"/>
              <w:left w:val="nil"/>
              <w:bottom w:val="nil"/>
              <w:right w:val="nil"/>
            </w:tcBorders>
            <w:shd w:val="clear" w:color="auto" w:fill="auto"/>
            <w:noWrap/>
            <w:vAlign w:val="center"/>
            <w:hideMark/>
          </w:tcPr>
          <w:p w14:paraId="63819572"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0.370</w:t>
            </w:r>
          </w:p>
        </w:tc>
        <w:tc>
          <w:tcPr>
            <w:tcW w:w="1051" w:type="pct"/>
            <w:vMerge w:val="restart"/>
            <w:tcBorders>
              <w:top w:val="nil"/>
              <w:left w:val="nil"/>
              <w:bottom w:val="single" w:sz="4" w:space="0" w:color="000000"/>
              <w:right w:val="nil"/>
            </w:tcBorders>
            <w:shd w:val="clear" w:color="auto" w:fill="auto"/>
            <w:noWrap/>
            <w:vAlign w:val="center"/>
            <w:hideMark/>
          </w:tcPr>
          <w:p w14:paraId="7D4F2EBF"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266.363</w:t>
            </w:r>
          </w:p>
        </w:tc>
        <w:tc>
          <w:tcPr>
            <w:tcW w:w="606" w:type="pct"/>
            <w:vMerge w:val="restart"/>
            <w:tcBorders>
              <w:top w:val="nil"/>
              <w:left w:val="nil"/>
              <w:bottom w:val="single" w:sz="4" w:space="0" w:color="000000"/>
              <w:right w:val="nil"/>
            </w:tcBorders>
            <w:shd w:val="clear" w:color="auto" w:fill="auto"/>
            <w:noWrap/>
            <w:vAlign w:val="center"/>
            <w:hideMark/>
          </w:tcPr>
          <w:p w14:paraId="61C14AA6"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0.000</w:t>
            </w:r>
          </w:p>
        </w:tc>
      </w:tr>
      <w:tr w:rsidR="00D8570C" w:rsidRPr="005B2FA1" w14:paraId="00053F3D" w14:textId="77777777" w:rsidTr="00790FBA">
        <w:trPr>
          <w:trHeight w:hRule="exact" w:val="284"/>
          <w:jc w:val="center"/>
        </w:trPr>
        <w:tc>
          <w:tcPr>
            <w:tcW w:w="1127" w:type="pct"/>
            <w:tcBorders>
              <w:top w:val="nil"/>
              <w:left w:val="nil"/>
              <w:bottom w:val="nil"/>
              <w:right w:val="nil"/>
            </w:tcBorders>
            <w:shd w:val="clear" w:color="auto" w:fill="auto"/>
            <w:hideMark/>
          </w:tcPr>
          <w:p w14:paraId="3D54B744"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Moderate</w:t>
            </w:r>
          </w:p>
        </w:tc>
        <w:tc>
          <w:tcPr>
            <w:tcW w:w="924" w:type="pct"/>
            <w:tcBorders>
              <w:top w:val="nil"/>
              <w:left w:val="nil"/>
              <w:bottom w:val="nil"/>
              <w:right w:val="nil"/>
            </w:tcBorders>
            <w:shd w:val="clear" w:color="auto" w:fill="auto"/>
            <w:noWrap/>
            <w:vAlign w:val="center"/>
            <w:hideMark/>
          </w:tcPr>
          <w:p w14:paraId="76078BD5"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6837</w:t>
            </w:r>
          </w:p>
        </w:tc>
        <w:tc>
          <w:tcPr>
            <w:tcW w:w="608" w:type="pct"/>
            <w:tcBorders>
              <w:top w:val="nil"/>
              <w:left w:val="nil"/>
              <w:bottom w:val="nil"/>
              <w:right w:val="nil"/>
            </w:tcBorders>
            <w:shd w:val="clear" w:color="auto" w:fill="auto"/>
            <w:noWrap/>
            <w:vAlign w:val="center"/>
            <w:hideMark/>
          </w:tcPr>
          <w:p w14:paraId="1A8C6C4F"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3.406</w:t>
            </w:r>
          </w:p>
        </w:tc>
        <w:tc>
          <w:tcPr>
            <w:tcW w:w="684" w:type="pct"/>
            <w:tcBorders>
              <w:top w:val="nil"/>
              <w:left w:val="nil"/>
              <w:bottom w:val="nil"/>
              <w:right w:val="nil"/>
            </w:tcBorders>
            <w:shd w:val="clear" w:color="auto" w:fill="auto"/>
            <w:noWrap/>
            <w:vAlign w:val="center"/>
            <w:hideMark/>
          </w:tcPr>
          <w:p w14:paraId="1823C4FB"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0.465</w:t>
            </w:r>
          </w:p>
        </w:tc>
        <w:tc>
          <w:tcPr>
            <w:tcW w:w="1051" w:type="pct"/>
            <w:vMerge/>
            <w:tcBorders>
              <w:top w:val="nil"/>
              <w:left w:val="nil"/>
              <w:bottom w:val="single" w:sz="4" w:space="0" w:color="000000"/>
              <w:right w:val="nil"/>
            </w:tcBorders>
            <w:vAlign w:val="center"/>
            <w:hideMark/>
          </w:tcPr>
          <w:p w14:paraId="2F488017" w14:textId="77777777" w:rsidR="00D8570C" w:rsidRPr="005B2FA1" w:rsidRDefault="00D8570C" w:rsidP="00790FBA">
            <w:pPr>
              <w:spacing w:line="260" w:lineRule="exact"/>
              <w:rPr>
                <w:rFonts w:eastAsia="Calibri" w:cs="Times"/>
                <w:sz w:val="20"/>
                <w:lang w:val="en-MY"/>
              </w:rPr>
            </w:pPr>
          </w:p>
        </w:tc>
        <w:tc>
          <w:tcPr>
            <w:tcW w:w="606" w:type="pct"/>
            <w:vMerge/>
            <w:tcBorders>
              <w:top w:val="nil"/>
              <w:left w:val="nil"/>
              <w:bottom w:val="single" w:sz="4" w:space="0" w:color="000000"/>
              <w:right w:val="nil"/>
            </w:tcBorders>
            <w:vAlign w:val="center"/>
            <w:hideMark/>
          </w:tcPr>
          <w:p w14:paraId="0B66C0F5" w14:textId="77777777" w:rsidR="00D8570C" w:rsidRPr="005B2FA1" w:rsidRDefault="00D8570C" w:rsidP="00790FBA">
            <w:pPr>
              <w:spacing w:line="260" w:lineRule="exact"/>
              <w:rPr>
                <w:rFonts w:eastAsia="Calibri" w:cs="Times"/>
                <w:sz w:val="20"/>
                <w:lang w:val="en-MY"/>
              </w:rPr>
            </w:pPr>
          </w:p>
        </w:tc>
      </w:tr>
      <w:tr w:rsidR="00D8570C" w:rsidRPr="005B2FA1" w14:paraId="652A5D75" w14:textId="77777777" w:rsidTr="00790FBA">
        <w:trPr>
          <w:trHeight w:hRule="exact" w:val="284"/>
          <w:jc w:val="center"/>
        </w:trPr>
        <w:tc>
          <w:tcPr>
            <w:tcW w:w="1127" w:type="pct"/>
            <w:tcBorders>
              <w:top w:val="nil"/>
              <w:left w:val="nil"/>
              <w:bottom w:val="nil"/>
              <w:right w:val="nil"/>
            </w:tcBorders>
            <w:shd w:val="clear" w:color="auto" w:fill="auto"/>
            <w:hideMark/>
          </w:tcPr>
          <w:p w14:paraId="6457BE88"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High</w:t>
            </w:r>
          </w:p>
        </w:tc>
        <w:tc>
          <w:tcPr>
            <w:tcW w:w="924" w:type="pct"/>
            <w:tcBorders>
              <w:top w:val="nil"/>
              <w:left w:val="nil"/>
              <w:bottom w:val="nil"/>
              <w:right w:val="nil"/>
            </w:tcBorders>
            <w:shd w:val="clear" w:color="auto" w:fill="auto"/>
            <w:noWrap/>
            <w:vAlign w:val="center"/>
            <w:hideMark/>
          </w:tcPr>
          <w:p w14:paraId="15354A2B"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1980</w:t>
            </w:r>
          </w:p>
        </w:tc>
        <w:tc>
          <w:tcPr>
            <w:tcW w:w="608" w:type="pct"/>
            <w:tcBorders>
              <w:top w:val="nil"/>
              <w:left w:val="nil"/>
              <w:bottom w:val="nil"/>
              <w:right w:val="nil"/>
            </w:tcBorders>
            <w:shd w:val="clear" w:color="auto" w:fill="auto"/>
            <w:noWrap/>
            <w:vAlign w:val="center"/>
            <w:hideMark/>
          </w:tcPr>
          <w:p w14:paraId="386AFE08"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3.352</w:t>
            </w:r>
          </w:p>
        </w:tc>
        <w:tc>
          <w:tcPr>
            <w:tcW w:w="684" w:type="pct"/>
            <w:tcBorders>
              <w:top w:val="nil"/>
              <w:left w:val="nil"/>
              <w:bottom w:val="nil"/>
              <w:right w:val="nil"/>
            </w:tcBorders>
            <w:shd w:val="clear" w:color="auto" w:fill="auto"/>
            <w:noWrap/>
            <w:vAlign w:val="center"/>
            <w:hideMark/>
          </w:tcPr>
          <w:p w14:paraId="7BA04B66"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0.432</w:t>
            </w:r>
          </w:p>
        </w:tc>
        <w:tc>
          <w:tcPr>
            <w:tcW w:w="1051" w:type="pct"/>
            <w:vMerge/>
            <w:tcBorders>
              <w:top w:val="nil"/>
              <w:left w:val="nil"/>
              <w:bottom w:val="single" w:sz="4" w:space="0" w:color="000000"/>
              <w:right w:val="nil"/>
            </w:tcBorders>
            <w:vAlign w:val="center"/>
            <w:hideMark/>
          </w:tcPr>
          <w:p w14:paraId="4F7987BB" w14:textId="77777777" w:rsidR="00D8570C" w:rsidRPr="005B2FA1" w:rsidRDefault="00D8570C" w:rsidP="00790FBA">
            <w:pPr>
              <w:spacing w:line="260" w:lineRule="exact"/>
              <w:rPr>
                <w:rFonts w:eastAsia="Calibri" w:cs="Times"/>
                <w:sz w:val="20"/>
                <w:lang w:val="en-MY"/>
              </w:rPr>
            </w:pPr>
          </w:p>
        </w:tc>
        <w:tc>
          <w:tcPr>
            <w:tcW w:w="606" w:type="pct"/>
            <w:vMerge/>
            <w:tcBorders>
              <w:top w:val="nil"/>
              <w:left w:val="nil"/>
              <w:bottom w:val="single" w:sz="4" w:space="0" w:color="000000"/>
              <w:right w:val="nil"/>
            </w:tcBorders>
            <w:vAlign w:val="center"/>
            <w:hideMark/>
          </w:tcPr>
          <w:p w14:paraId="0458FE8F" w14:textId="77777777" w:rsidR="00D8570C" w:rsidRPr="005B2FA1" w:rsidRDefault="00D8570C" w:rsidP="00790FBA">
            <w:pPr>
              <w:spacing w:line="260" w:lineRule="exact"/>
              <w:rPr>
                <w:rFonts w:eastAsia="Calibri" w:cs="Times"/>
                <w:sz w:val="20"/>
                <w:lang w:val="en-MY"/>
              </w:rPr>
            </w:pPr>
          </w:p>
        </w:tc>
      </w:tr>
      <w:tr w:rsidR="00D8570C" w:rsidRPr="005B2FA1" w14:paraId="68B07593" w14:textId="77777777" w:rsidTr="00790FBA">
        <w:trPr>
          <w:trHeight w:hRule="exact" w:val="284"/>
          <w:jc w:val="center"/>
        </w:trPr>
        <w:tc>
          <w:tcPr>
            <w:tcW w:w="1127" w:type="pct"/>
            <w:tcBorders>
              <w:top w:val="nil"/>
              <w:left w:val="nil"/>
              <w:bottom w:val="single" w:sz="4" w:space="0" w:color="auto"/>
              <w:right w:val="nil"/>
            </w:tcBorders>
            <w:shd w:val="clear" w:color="auto" w:fill="auto"/>
            <w:hideMark/>
          </w:tcPr>
          <w:p w14:paraId="25504379"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Total</w:t>
            </w:r>
          </w:p>
        </w:tc>
        <w:tc>
          <w:tcPr>
            <w:tcW w:w="924" w:type="pct"/>
            <w:tcBorders>
              <w:top w:val="nil"/>
              <w:left w:val="nil"/>
              <w:bottom w:val="single" w:sz="4" w:space="0" w:color="auto"/>
              <w:right w:val="nil"/>
            </w:tcBorders>
            <w:shd w:val="clear" w:color="auto" w:fill="auto"/>
            <w:noWrap/>
            <w:vAlign w:val="center"/>
            <w:hideMark/>
          </w:tcPr>
          <w:p w14:paraId="13393700"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12442</w:t>
            </w:r>
          </w:p>
        </w:tc>
        <w:tc>
          <w:tcPr>
            <w:tcW w:w="608" w:type="pct"/>
            <w:tcBorders>
              <w:top w:val="nil"/>
              <w:left w:val="nil"/>
              <w:bottom w:val="single" w:sz="4" w:space="0" w:color="auto"/>
              <w:right w:val="nil"/>
            </w:tcBorders>
            <w:shd w:val="clear" w:color="auto" w:fill="auto"/>
            <w:noWrap/>
            <w:vAlign w:val="center"/>
            <w:hideMark/>
          </w:tcPr>
          <w:p w14:paraId="14FFBDC4"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3.338</w:t>
            </w:r>
          </w:p>
        </w:tc>
        <w:tc>
          <w:tcPr>
            <w:tcW w:w="684" w:type="pct"/>
            <w:tcBorders>
              <w:top w:val="nil"/>
              <w:left w:val="nil"/>
              <w:bottom w:val="single" w:sz="4" w:space="0" w:color="auto"/>
              <w:right w:val="nil"/>
            </w:tcBorders>
            <w:shd w:val="clear" w:color="auto" w:fill="auto"/>
            <w:noWrap/>
            <w:vAlign w:val="center"/>
            <w:hideMark/>
          </w:tcPr>
          <w:p w14:paraId="321FB59C" w14:textId="77777777" w:rsidR="00D8570C" w:rsidRPr="005B2FA1" w:rsidRDefault="00D8570C" w:rsidP="00790FBA">
            <w:pPr>
              <w:spacing w:line="260" w:lineRule="exact"/>
              <w:rPr>
                <w:rFonts w:eastAsia="Calibri" w:cs="Times"/>
                <w:sz w:val="20"/>
                <w:lang w:val="en-MY"/>
              </w:rPr>
            </w:pPr>
            <w:r w:rsidRPr="005B2FA1">
              <w:rPr>
                <w:rFonts w:eastAsia="Calibri" w:cs="Times"/>
                <w:sz w:val="20"/>
                <w:lang w:val="en-MY"/>
              </w:rPr>
              <w:t>0.422</w:t>
            </w:r>
          </w:p>
        </w:tc>
        <w:tc>
          <w:tcPr>
            <w:tcW w:w="1051" w:type="pct"/>
            <w:vMerge/>
            <w:tcBorders>
              <w:top w:val="nil"/>
              <w:left w:val="nil"/>
              <w:bottom w:val="single" w:sz="4" w:space="0" w:color="000000"/>
              <w:right w:val="nil"/>
            </w:tcBorders>
            <w:vAlign w:val="center"/>
            <w:hideMark/>
          </w:tcPr>
          <w:p w14:paraId="0586FE5D" w14:textId="77777777" w:rsidR="00D8570C" w:rsidRPr="005B2FA1" w:rsidRDefault="00D8570C" w:rsidP="00790FBA">
            <w:pPr>
              <w:spacing w:line="260" w:lineRule="exact"/>
              <w:rPr>
                <w:rFonts w:eastAsia="Calibri" w:cs="Times"/>
                <w:sz w:val="20"/>
                <w:lang w:val="en-MY"/>
              </w:rPr>
            </w:pPr>
          </w:p>
        </w:tc>
        <w:tc>
          <w:tcPr>
            <w:tcW w:w="606" w:type="pct"/>
            <w:vMerge/>
            <w:tcBorders>
              <w:top w:val="nil"/>
              <w:left w:val="nil"/>
              <w:bottom w:val="single" w:sz="4" w:space="0" w:color="000000"/>
              <w:right w:val="nil"/>
            </w:tcBorders>
            <w:vAlign w:val="center"/>
            <w:hideMark/>
          </w:tcPr>
          <w:p w14:paraId="26D8DD59" w14:textId="77777777" w:rsidR="00D8570C" w:rsidRPr="005B2FA1" w:rsidRDefault="00D8570C" w:rsidP="00790FBA">
            <w:pPr>
              <w:spacing w:line="260" w:lineRule="exact"/>
              <w:rPr>
                <w:rFonts w:eastAsia="Calibri" w:cs="Times"/>
                <w:sz w:val="20"/>
                <w:lang w:val="en-MY"/>
              </w:rPr>
            </w:pPr>
          </w:p>
        </w:tc>
      </w:tr>
    </w:tbl>
    <w:p w14:paraId="549B64DD" w14:textId="77777777" w:rsidR="00D8570C" w:rsidRPr="005B2FA1" w:rsidRDefault="00D8570C" w:rsidP="00D8570C">
      <w:pPr>
        <w:spacing w:line="260" w:lineRule="exact"/>
        <w:rPr>
          <w:rFonts w:eastAsia="Calibri" w:cs="Times"/>
          <w:b/>
          <w:bCs/>
          <w:sz w:val="20"/>
          <w:lang w:val="en-MY"/>
        </w:rPr>
      </w:pPr>
      <w:r w:rsidRPr="005B2FA1">
        <w:rPr>
          <w:rFonts w:eastAsia="Calibri" w:cs="Times"/>
          <w:b/>
          <w:bCs/>
          <w:sz w:val="20"/>
          <w:lang w:val="en-MY"/>
        </w:rPr>
        <w:t>DF=2,12441</w:t>
      </w:r>
    </w:p>
    <w:p w14:paraId="687951AB" w14:textId="77777777" w:rsidR="00D8570C" w:rsidRDefault="00D8570C" w:rsidP="00D8570C">
      <w:pPr>
        <w:overflowPunct w:val="0"/>
        <w:autoSpaceDE w:val="0"/>
        <w:autoSpaceDN w:val="0"/>
        <w:adjustRightInd w:val="0"/>
        <w:spacing w:after="120" w:line="240" w:lineRule="atLeast"/>
        <w:textAlignment w:val="baseline"/>
        <w:rPr>
          <w:rFonts w:cs="Times"/>
          <w:sz w:val="20"/>
          <w:lang w:val="en-US"/>
        </w:rPr>
      </w:pPr>
    </w:p>
    <w:p w14:paraId="113EEFBB" w14:textId="77777777" w:rsidR="00D8570C" w:rsidRDefault="00D8570C" w:rsidP="00D8570C">
      <w:pPr>
        <w:overflowPunct w:val="0"/>
        <w:autoSpaceDE w:val="0"/>
        <w:autoSpaceDN w:val="0"/>
        <w:adjustRightInd w:val="0"/>
        <w:spacing w:after="120" w:line="240" w:lineRule="atLeast"/>
        <w:textAlignment w:val="baseline"/>
        <w:rPr>
          <w:rFonts w:cs="Times"/>
          <w:szCs w:val="22"/>
          <w:lang w:val="en-US"/>
        </w:rPr>
      </w:pPr>
      <w:r w:rsidRPr="005B2FA1">
        <w:rPr>
          <w:rFonts w:cs="Times"/>
          <w:szCs w:val="22"/>
          <w:lang w:val="en-US"/>
        </w:rPr>
        <w:t>Th</w:t>
      </w:r>
      <w:r>
        <w:rPr>
          <w:rFonts w:cs="Times"/>
          <w:szCs w:val="22"/>
          <w:lang w:val="en-US"/>
        </w:rPr>
        <w:t>is</w:t>
      </w:r>
      <w:r w:rsidRPr="005B2FA1">
        <w:rPr>
          <w:rFonts w:cs="Times"/>
          <w:szCs w:val="22"/>
          <w:lang w:val="en-US"/>
        </w:rPr>
        <w:t xml:space="preserve"> study considered multiple parameters, including activity, words, and syllables, to </w:t>
      </w:r>
      <w:r>
        <w:rPr>
          <w:rFonts w:cs="Times"/>
          <w:szCs w:val="22"/>
          <w:lang w:val="en-US"/>
        </w:rPr>
        <w:t>assess the</w:t>
      </w:r>
      <w:r w:rsidRPr="005B2FA1">
        <w:rPr>
          <w:rFonts w:cs="Times"/>
          <w:szCs w:val="22"/>
          <w:lang w:val="en-US"/>
        </w:rPr>
        <w:t xml:space="preserve"> cognitive workload. The pupil dilation data</w:t>
      </w:r>
      <w:r>
        <w:rPr>
          <w:rFonts w:cs="Times"/>
          <w:szCs w:val="22"/>
          <w:lang w:val="en-US"/>
        </w:rPr>
        <w:t xml:space="preserve"> that</w:t>
      </w:r>
      <w:r w:rsidRPr="005B2FA1">
        <w:rPr>
          <w:rFonts w:cs="Times"/>
          <w:szCs w:val="22"/>
          <w:lang w:val="en-US"/>
        </w:rPr>
        <w:t xml:space="preserve"> collected using the Tobii Studio 60 eye tracker, were categorized into three levels: low, moderate, and high. </w:t>
      </w:r>
      <w:r w:rsidRPr="005C637E">
        <w:rPr>
          <w:rFonts w:cs="Times"/>
          <w:szCs w:val="22"/>
          <w:lang w:val="en-US"/>
        </w:rPr>
        <w:t>These categories helped the researchers to identify</w:t>
      </w:r>
      <w:r>
        <w:rPr>
          <w:rFonts w:cs="Times"/>
          <w:szCs w:val="22"/>
          <w:lang w:val="en-US"/>
        </w:rPr>
        <w:t xml:space="preserve"> </w:t>
      </w:r>
      <w:r w:rsidRPr="005C637E">
        <w:rPr>
          <w:rFonts w:cs="Times"/>
          <w:szCs w:val="22"/>
          <w:lang w:val="en-US"/>
        </w:rPr>
        <w:t>how different levels of task difficulty will affect the cognitive workload, providing a nuanced understanding of the cognitive processes in children with ASDC.</w:t>
      </w:r>
      <w:r>
        <w:rPr>
          <w:rFonts w:cs="Times"/>
          <w:szCs w:val="22"/>
          <w:lang w:val="en-US"/>
        </w:rPr>
        <w:t xml:space="preserve"> </w:t>
      </w:r>
    </w:p>
    <w:p w14:paraId="5673E73B" w14:textId="660D2775" w:rsidR="00D8570C" w:rsidRDefault="00D8570C" w:rsidP="00BE4962">
      <w:pPr>
        <w:pStyle w:val="Cap3Heading2"/>
        <w:rPr>
          <w:lang w:val="en-US"/>
        </w:rPr>
      </w:pPr>
      <w:r w:rsidRPr="009F70C9">
        <w:rPr>
          <w:lang w:val="en-US"/>
        </w:rPr>
        <w:t>Post Hoc Comparison</w:t>
      </w:r>
    </w:p>
    <w:p w14:paraId="377A9621" w14:textId="77777777" w:rsidR="00D8570C" w:rsidRDefault="00D8570C" w:rsidP="00D8570C">
      <w:pPr>
        <w:overflowPunct w:val="0"/>
        <w:autoSpaceDE w:val="0"/>
        <w:autoSpaceDN w:val="0"/>
        <w:adjustRightInd w:val="0"/>
        <w:spacing w:after="120" w:line="240" w:lineRule="atLeast"/>
        <w:textAlignment w:val="baseline"/>
        <w:rPr>
          <w:rFonts w:cs="Times"/>
          <w:szCs w:val="22"/>
          <w:lang w:val="en-US"/>
        </w:rPr>
      </w:pPr>
      <w:r w:rsidRPr="005B2FA1">
        <w:rPr>
          <w:rFonts w:cs="Times"/>
          <w:szCs w:val="22"/>
          <w:lang w:val="en-US"/>
        </w:rPr>
        <w:t xml:space="preserve">Post hoc comparisons using Dunn's multiple comparison test, due to violated homogeneity of variance (Levene's test p &lt; 0.05), revealed significant differences in cognitive workload levels, with low pupil dilation scores (MD = -0.1733, p &lt; 0.05) differing significantly from moderate/high scores (MD = -0.17114, p &lt; 0.05). One-way ANOVA showed significant differences in left eye dilation across cognitive workload levels (DF 2, 12439 = 255.529, p &lt; 0.05), with lower workloads (3.186 ± 0.312) leading to higher dilation than moderate (3.36 ± 0.409) and high (3.357 ± 0.431) workloads. Similarly, right eye dilation also differed significantly (DF 2, 12441 = 266.363, p &lt; 0.05), with higher dilation at low workloads (3.201 ± 0.370) compared to moderate (3.406 ± 0.465) and high (3.352 ± 0.432) levels. </w:t>
      </w:r>
      <w:r w:rsidRPr="009F70C9">
        <w:rPr>
          <w:rFonts w:cs="Times"/>
          <w:szCs w:val="22"/>
          <w:lang w:val="en-US"/>
        </w:rPr>
        <w:t>Table 3</w:t>
      </w:r>
      <w:r w:rsidRPr="005B2FA1">
        <w:rPr>
          <w:rFonts w:cs="Times"/>
          <w:b/>
          <w:bCs/>
          <w:szCs w:val="22"/>
          <w:lang w:val="en-US"/>
        </w:rPr>
        <w:t xml:space="preserve"> </w:t>
      </w:r>
      <w:r w:rsidRPr="005B2FA1">
        <w:rPr>
          <w:rFonts w:cs="Times"/>
          <w:szCs w:val="22"/>
          <w:lang w:val="en-US"/>
        </w:rPr>
        <w:t>shows the results of a paired t-test indicated a significant difference between left and right eye dilation (</w:t>
      </w:r>
      <w:proofErr w:type="spellStart"/>
      <w:r w:rsidRPr="005B2FA1">
        <w:rPr>
          <w:rFonts w:cs="Times"/>
          <w:szCs w:val="22"/>
          <w:lang w:val="en-US"/>
        </w:rPr>
        <w:t>df</w:t>
      </w:r>
      <w:proofErr w:type="spellEnd"/>
      <w:r w:rsidRPr="005B2FA1">
        <w:rPr>
          <w:rFonts w:cs="Times"/>
          <w:szCs w:val="22"/>
          <w:lang w:val="en-US"/>
        </w:rPr>
        <w:t xml:space="preserve"> = 12506, t = -23.579, p &lt; 0.05), with the right eye having a higher mean dilation (3.3429 ± 0.45) than the left eye (3.3146 ± 0.40353), suggesting asymmetry in cognitive processing during reading tasks.</w:t>
      </w:r>
    </w:p>
    <w:p w14:paraId="0E2502CE" w14:textId="6B2C6855" w:rsidR="00D8570C" w:rsidRDefault="00D8570C" w:rsidP="00BE4962">
      <w:pPr>
        <w:pStyle w:val="Cap3Heading2"/>
        <w:rPr>
          <w:lang w:val="en-US"/>
        </w:rPr>
      </w:pPr>
      <w:r w:rsidRPr="009F70C9">
        <w:rPr>
          <w:lang w:val="en-US"/>
        </w:rPr>
        <w:t>Left vs. Right Eye Dilation</w:t>
      </w:r>
    </w:p>
    <w:p w14:paraId="3CE9486A" w14:textId="77777777" w:rsidR="00D8570C" w:rsidRDefault="00D8570C" w:rsidP="00D8570C">
      <w:pPr>
        <w:rPr>
          <w:lang w:val="en-US"/>
        </w:rPr>
      </w:pPr>
      <w:r w:rsidRPr="009F70C9">
        <w:rPr>
          <w:lang w:val="en-US"/>
        </w:rPr>
        <w:t>Analysis of pupil dilation for the left eye using one-way ANOVA showed the significant differences across in cognitive workload levels (DF 2, 12439 = 255.529, p &lt; 0.05).</w:t>
      </w:r>
      <w:r>
        <w:rPr>
          <w:lang w:val="en-US"/>
        </w:rPr>
        <w:t xml:space="preserve"> </w:t>
      </w:r>
      <w:r w:rsidRPr="009F70C9">
        <w:rPr>
          <w:lang w:val="en-US"/>
        </w:rPr>
        <w:t>The mean values for pupil dilation scores showed that, in comparison to moderate (3.36 ± 0.409) and high (3.357 ± 0.431) workload levels, lower cognitive workloads (3.186 ± 0.312) produced considerably greater pupil dilation.</w:t>
      </w:r>
    </w:p>
    <w:p w14:paraId="5C8BF175" w14:textId="77777777" w:rsidR="00D8570C" w:rsidRDefault="00D8570C" w:rsidP="00D8570C">
      <w:pPr>
        <w:rPr>
          <w:lang w:val="en-US"/>
        </w:rPr>
      </w:pPr>
    </w:p>
    <w:p w14:paraId="7FBB055E" w14:textId="77777777" w:rsidR="00D8570C" w:rsidRDefault="00D8570C" w:rsidP="00D8570C">
      <w:pPr>
        <w:rPr>
          <w:lang w:val="en-US"/>
        </w:rPr>
      </w:pPr>
      <w:r w:rsidRPr="009F70C9">
        <w:rPr>
          <w:lang w:val="en-US"/>
        </w:rPr>
        <w:t>Similarly, the right eye showed the significant differences in pupil dilation scores (DF 2, 12441 = 266.363, p &lt; 0.05). The mean values for the right eye indicated higher pupil dilation scores at low workload levels (3.201 ± 0.370) compared to moderate (3.406 ± 0.465) and high (3.352 ± 0.432) workload levels.</w:t>
      </w:r>
    </w:p>
    <w:p w14:paraId="11D40CD3" w14:textId="77777777" w:rsidR="00D8570C" w:rsidRPr="005B2FA1" w:rsidRDefault="00D8570C" w:rsidP="00D8570C">
      <w:pPr>
        <w:keepNext/>
        <w:overflowPunct w:val="0"/>
        <w:autoSpaceDE w:val="0"/>
        <w:autoSpaceDN w:val="0"/>
        <w:adjustRightInd w:val="0"/>
        <w:spacing w:before="200" w:after="100"/>
        <w:jc w:val="center"/>
        <w:textAlignment w:val="baseline"/>
        <w:rPr>
          <w:rFonts w:cs="Times"/>
          <w:b/>
          <w:iCs/>
          <w:szCs w:val="22"/>
          <w:lang w:val="en-US"/>
        </w:rPr>
      </w:pPr>
      <w:bookmarkStart w:id="0" w:name="_Hlk167078204"/>
      <w:r w:rsidRPr="005B2FA1">
        <w:rPr>
          <w:rFonts w:cs="Times"/>
          <w:b/>
          <w:iCs/>
          <w:szCs w:val="22"/>
          <w:lang w:val="en-US"/>
        </w:rPr>
        <w:t xml:space="preserve">Table 3. </w:t>
      </w:r>
      <w:r w:rsidRPr="005B2FA1">
        <w:rPr>
          <w:rFonts w:cs="Times"/>
          <w:bCs/>
          <w:iCs/>
          <w:szCs w:val="22"/>
          <w:lang w:val="en-US"/>
        </w:rPr>
        <w:t>A paired t-test left and right eye comparison.</w:t>
      </w:r>
    </w:p>
    <w:tbl>
      <w:tblPr>
        <w:tblW w:w="5000" w:type="pct"/>
        <w:jc w:val="center"/>
        <w:tblLook w:val="04A0" w:firstRow="1" w:lastRow="0" w:firstColumn="1" w:lastColumn="0" w:noHBand="0" w:noVBand="1"/>
      </w:tblPr>
      <w:tblGrid>
        <w:gridCol w:w="1036"/>
        <w:gridCol w:w="1036"/>
        <w:gridCol w:w="1036"/>
        <w:gridCol w:w="1208"/>
        <w:gridCol w:w="1208"/>
        <w:gridCol w:w="1553"/>
        <w:gridCol w:w="1036"/>
        <w:gridCol w:w="958"/>
      </w:tblGrid>
      <w:tr w:rsidR="00D8570C" w:rsidRPr="005B2FA1" w14:paraId="3ABB159B" w14:textId="77777777" w:rsidTr="00790FBA">
        <w:trPr>
          <w:trHeight w:hRule="exact" w:val="284"/>
          <w:jc w:val="center"/>
        </w:trPr>
        <w:tc>
          <w:tcPr>
            <w:tcW w:w="1142" w:type="pct"/>
            <w:gridSpan w:val="2"/>
            <w:tcBorders>
              <w:top w:val="single" w:sz="4" w:space="0" w:color="auto"/>
              <w:left w:val="nil"/>
              <w:bottom w:val="single" w:sz="4" w:space="0" w:color="auto"/>
              <w:right w:val="nil"/>
            </w:tcBorders>
            <w:shd w:val="clear" w:color="auto" w:fill="auto"/>
            <w:vAlign w:val="center"/>
            <w:hideMark/>
          </w:tcPr>
          <w:bookmarkEnd w:id="0"/>
          <w:p w14:paraId="0EFCC3EF" w14:textId="77777777" w:rsidR="00D8570C" w:rsidRPr="005B2FA1" w:rsidRDefault="00D8570C" w:rsidP="00790FBA">
            <w:pPr>
              <w:spacing w:line="260" w:lineRule="exact"/>
              <w:rPr>
                <w:rFonts w:eastAsia="Calibri" w:cs="Times"/>
                <w:sz w:val="20"/>
              </w:rPr>
            </w:pPr>
            <w:r w:rsidRPr="005B2FA1">
              <w:rPr>
                <w:rFonts w:eastAsia="Calibri" w:cs="Times"/>
                <w:sz w:val="20"/>
              </w:rPr>
              <w:t> </w:t>
            </w:r>
          </w:p>
        </w:tc>
        <w:tc>
          <w:tcPr>
            <w:tcW w:w="571" w:type="pct"/>
            <w:tcBorders>
              <w:top w:val="single" w:sz="4" w:space="0" w:color="auto"/>
              <w:left w:val="nil"/>
              <w:bottom w:val="single" w:sz="4" w:space="0" w:color="auto"/>
              <w:right w:val="nil"/>
            </w:tcBorders>
            <w:shd w:val="clear" w:color="auto" w:fill="auto"/>
            <w:vAlign w:val="center"/>
            <w:hideMark/>
          </w:tcPr>
          <w:p w14:paraId="11F57408" w14:textId="77777777" w:rsidR="00D8570C" w:rsidRPr="005B2FA1" w:rsidRDefault="00D8570C" w:rsidP="00790FBA">
            <w:pPr>
              <w:spacing w:line="260" w:lineRule="exact"/>
              <w:rPr>
                <w:rFonts w:eastAsia="Calibri" w:cs="Times"/>
                <w:sz w:val="20"/>
              </w:rPr>
            </w:pPr>
            <w:r w:rsidRPr="005B2FA1">
              <w:rPr>
                <w:rFonts w:eastAsia="Calibri" w:cs="Times"/>
                <w:sz w:val="20"/>
              </w:rPr>
              <w:t>Mean</w:t>
            </w:r>
          </w:p>
        </w:tc>
        <w:tc>
          <w:tcPr>
            <w:tcW w:w="666" w:type="pct"/>
            <w:tcBorders>
              <w:top w:val="single" w:sz="4" w:space="0" w:color="auto"/>
              <w:left w:val="nil"/>
              <w:bottom w:val="single" w:sz="4" w:space="0" w:color="auto"/>
              <w:right w:val="nil"/>
            </w:tcBorders>
            <w:shd w:val="clear" w:color="auto" w:fill="auto"/>
            <w:vAlign w:val="center"/>
            <w:hideMark/>
          </w:tcPr>
          <w:p w14:paraId="1070FFF8" w14:textId="77777777" w:rsidR="00D8570C" w:rsidRPr="005B2FA1" w:rsidRDefault="00D8570C" w:rsidP="00790FBA">
            <w:pPr>
              <w:spacing w:line="260" w:lineRule="exact"/>
              <w:rPr>
                <w:rFonts w:eastAsia="Calibri" w:cs="Times"/>
                <w:sz w:val="20"/>
              </w:rPr>
            </w:pPr>
            <w:r w:rsidRPr="005B2FA1">
              <w:rPr>
                <w:rFonts w:eastAsia="Calibri" w:cs="Times"/>
                <w:sz w:val="20"/>
              </w:rPr>
              <w:t>N</w:t>
            </w:r>
          </w:p>
        </w:tc>
        <w:tc>
          <w:tcPr>
            <w:tcW w:w="666" w:type="pct"/>
            <w:tcBorders>
              <w:top w:val="single" w:sz="4" w:space="0" w:color="auto"/>
              <w:left w:val="nil"/>
              <w:bottom w:val="single" w:sz="4" w:space="0" w:color="auto"/>
              <w:right w:val="nil"/>
            </w:tcBorders>
            <w:shd w:val="clear" w:color="auto" w:fill="auto"/>
            <w:vAlign w:val="center"/>
            <w:hideMark/>
          </w:tcPr>
          <w:p w14:paraId="5A189540" w14:textId="77777777" w:rsidR="00D8570C" w:rsidRPr="005B2FA1" w:rsidRDefault="00D8570C" w:rsidP="00790FBA">
            <w:pPr>
              <w:spacing w:line="260" w:lineRule="exact"/>
              <w:rPr>
                <w:rFonts w:eastAsia="Calibri" w:cs="Times"/>
                <w:sz w:val="20"/>
              </w:rPr>
            </w:pPr>
            <w:r w:rsidRPr="005B2FA1">
              <w:rPr>
                <w:rFonts w:eastAsia="Calibri" w:cs="Times"/>
                <w:sz w:val="20"/>
              </w:rPr>
              <w:t>SD</w:t>
            </w:r>
          </w:p>
        </w:tc>
        <w:tc>
          <w:tcPr>
            <w:tcW w:w="856" w:type="pct"/>
            <w:tcBorders>
              <w:top w:val="single" w:sz="4" w:space="0" w:color="auto"/>
              <w:left w:val="nil"/>
              <w:bottom w:val="single" w:sz="4" w:space="0" w:color="auto"/>
              <w:right w:val="nil"/>
            </w:tcBorders>
            <w:shd w:val="clear" w:color="auto" w:fill="auto"/>
            <w:noWrap/>
            <w:vAlign w:val="center"/>
            <w:hideMark/>
          </w:tcPr>
          <w:p w14:paraId="7C228F03" w14:textId="77777777" w:rsidR="00D8570C" w:rsidRPr="005B2FA1" w:rsidRDefault="00D8570C" w:rsidP="00790FBA">
            <w:pPr>
              <w:spacing w:line="260" w:lineRule="exact"/>
              <w:rPr>
                <w:rFonts w:eastAsia="Calibri" w:cs="Times"/>
                <w:sz w:val="20"/>
              </w:rPr>
            </w:pPr>
            <w:r w:rsidRPr="005B2FA1">
              <w:rPr>
                <w:rFonts w:eastAsia="Calibri" w:cs="Times"/>
                <w:sz w:val="20"/>
              </w:rPr>
              <w:t>t</w:t>
            </w:r>
          </w:p>
        </w:tc>
        <w:tc>
          <w:tcPr>
            <w:tcW w:w="571" w:type="pct"/>
            <w:tcBorders>
              <w:top w:val="single" w:sz="4" w:space="0" w:color="auto"/>
              <w:left w:val="nil"/>
              <w:bottom w:val="single" w:sz="4" w:space="0" w:color="auto"/>
              <w:right w:val="nil"/>
            </w:tcBorders>
            <w:shd w:val="clear" w:color="auto" w:fill="auto"/>
            <w:noWrap/>
            <w:vAlign w:val="center"/>
            <w:hideMark/>
          </w:tcPr>
          <w:p w14:paraId="54D57354" w14:textId="77777777" w:rsidR="00D8570C" w:rsidRPr="005B2FA1" w:rsidRDefault="00D8570C" w:rsidP="00790FBA">
            <w:pPr>
              <w:spacing w:line="260" w:lineRule="exact"/>
              <w:rPr>
                <w:rFonts w:eastAsia="Calibri" w:cs="Times"/>
                <w:sz w:val="20"/>
              </w:rPr>
            </w:pPr>
            <w:proofErr w:type="spellStart"/>
            <w:r w:rsidRPr="005B2FA1">
              <w:rPr>
                <w:rFonts w:eastAsia="Calibri" w:cs="Times"/>
                <w:sz w:val="20"/>
              </w:rPr>
              <w:t>df</w:t>
            </w:r>
            <w:proofErr w:type="spellEnd"/>
          </w:p>
        </w:tc>
        <w:tc>
          <w:tcPr>
            <w:tcW w:w="528" w:type="pct"/>
            <w:tcBorders>
              <w:top w:val="single" w:sz="4" w:space="0" w:color="auto"/>
              <w:left w:val="nil"/>
              <w:bottom w:val="single" w:sz="4" w:space="0" w:color="auto"/>
              <w:right w:val="nil"/>
            </w:tcBorders>
            <w:shd w:val="clear" w:color="auto" w:fill="auto"/>
            <w:noWrap/>
            <w:vAlign w:val="center"/>
            <w:hideMark/>
          </w:tcPr>
          <w:p w14:paraId="1BB6467E" w14:textId="77777777" w:rsidR="00D8570C" w:rsidRPr="005B2FA1" w:rsidRDefault="00D8570C" w:rsidP="00790FBA">
            <w:pPr>
              <w:spacing w:line="260" w:lineRule="exact"/>
              <w:rPr>
                <w:rFonts w:eastAsia="Calibri" w:cs="Times"/>
                <w:sz w:val="20"/>
              </w:rPr>
            </w:pPr>
            <w:r w:rsidRPr="005B2FA1">
              <w:rPr>
                <w:rFonts w:eastAsia="Calibri" w:cs="Times"/>
                <w:sz w:val="20"/>
              </w:rPr>
              <w:t>sig.</w:t>
            </w:r>
          </w:p>
        </w:tc>
      </w:tr>
      <w:tr w:rsidR="00D8570C" w:rsidRPr="005B2FA1" w14:paraId="0A779B68" w14:textId="77777777" w:rsidTr="00790FBA">
        <w:trPr>
          <w:trHeight w:hRule="exact" w:val="284"/>
          <w:jc w:val="center"/>
        </w:trPr>
        <w:tc>
          <w:tcPr>
            <w:tcW w:w="571" w:type="pct"/>
            <w:vMerge w:val="restart"/>
            <w:tcBorders>
              <w:top w:val="nil"/>
              <w:left w:val="nil"/>
              <w:bottom w:val="single" w:sz="4" w:space="0" w:color="000000"/>
              <w:right w:val="nil"/>
            </w:tcBorders>
            <w:shd w:val="clear" w:color="auto" w:fill="auto"/>
            <w:vAlign w:val="center"/>
            <w:hideMark/>
          </w:tcPr>
          <w:p w14:paraId="3638C03D" w14:textId="77777777" w:rsidR="00D8570C" w:rsidRPr="005B2FA1" w:rsidRDefault="00D8570C" w:rsidP="00790FBA">
            <w:pPr>
              <w:spacing w:line="260" w:lineRule="exact"/>
              <w:rPr>
                <w:rFonts w:eastAsia="Calibri" w:cs="Times"/>
                <w:sz w:val="20"/>
              </w:rPr>
            </w:pPr>
            <w:r w:rsidRPr="005B2FA1">
              <w:rPr>
                <w:rFonts w:eastAsia="Calibri" w:cs="Times"/>
                <w:sz w:val="20"/>
              </w:rPr>
              <w:t>Pair 1</w:t>
            </w:r>
          </w:p>
        </w:tc>
        <w:tc>
          <w:tcPr>
            <w:tcW w:w="570" w:type="pct"/>
            <w:tcBorders>
              <w:top w:val="nil"/>
              <w:left w:val="nil"/>
              <w:bottom w:val="nil"/>
              <w:right w:val="nil"/>
            </w:tcBorders>
            <w:shd w:val="clear" w:color="auto" w:fill="auto"/>
            <w:vAlign w:val="center"/>
            <w:hideMark/>
          </w:tcPr>
          <w:p w14:paraId="3A33B156" w14:textId="77777777" w:rsidR="00D8570C" w:rsidRPr="005B2FA1" w:rsidRDefault="00D8570C" w:rsidP="00790FBA">
            <w:pPr>
              <w:spacing w:line="260" w:lineRule="exact"/>
              <w:rPr>
                <w:rFonts w:eastAsia="Calibri" w:cs="Times"/>
                <w:sz w:val="20"/>
              </w:rPr>
            </w:pPr>
            <w:r w:rsidRPr="005B2FA1">
              <w:rPr>
                <w:rFonts w:eastAsia="Calibri" w:cs="Times"/>
                <w:sz w:val="20"/>
              </w:rPr>
              <w:t>Left</w:t>
            </w:r>
          </w:p>
        </w:tc>
        <w:tc>
          <w:tcPr>
            <w:tcW w:w="571" w:type="pct"/>
            <w:tcBorders>
              <w:top w:val="nil"/>
              <w:left w:val="nil"/>
              <w:bottom w:val="nil"/>
              <w:right w:val="nil"/>
            </w:tcBorders>
            <w:shd w:val="clear" w:color="auto" w:fill="auto"/>
            <w:noWrap/>
            <w:vAlign w:val="center"/>
            <w:hideMark/>
          </w:tcPr>
          <w:p w14:paraId="6C270D87" w14:textId="77777777" w:rsidR="00D8570C" w:rsidRPr="005B2FA1" w:rsidRDefault="00D8570C" w:rsidP="00790FBA">
            <w:pPr>
              <w:spacing w:line="260" w:lineRule="exact"/>
              <w:rPr>
                <w:rFonts w:eastAsia="Calibri" w:cs="Times"/>
                <w:sz w:val="20"/>
              </w:rPr>
            </w:pPr>
            <w:r w:rsidRPr="005B2FA1">
              <w:rPr>
                <w:rFonts w:eastAsia="Calibri" w:cs="Times"/>
                <w:sz w:val="20"/>
              </w:rPr>
              <w:t>3.3146</w:t>
            </w:r>
          </w:p>
        </w:tc>
        <w:tc>
          <w:tcPr>
            <w:tcW w:w="666" w:type="pct"/>
            <w:tcBorders>
              <w:top w:val="nil"/>
              <w:left w:val="nil"/>
              <w:bottom w:val="nil"/>
              <w:right w:val="nil"/>
            </w:tcBorders>
            <w:shd w:val="clear" w:color="auto" w:fill="auto"/>
            <w:noWrap/>
            <w:vAlign w:val="center"/>
            <w:hideMark/>
          </w:tcPr>
          <w:p w14:paraId="313ED35A" w14:textId="77777777" w:rsidR="00D8570C" w:rsidRPr="005B2FA1" w:rsidRDefault="00D8570C" w:rsidP="00790FBA">
            <w:pPr>
              <w:spacing w:line="260" w:lineRule="exact"/>
              <w:rPr>
                <w:rFonts w:eastAsia="Calibri" w:cs="Times"/>
                <w:sz w:val="20"/>
              </w:rPr>
            </w:pPr>
            <w:r w:rsidRPr="005B2FA1">
              <w:rPr>
                <w:rFonts w:eastAsia="Calibri" w:cs="Times"/>
                <w:sz w:val="20"/>
              </w:rPr>
              <w:t>12507</w:t>
            </w:r>
          </w:p>
        </w:tc>
        <w:tc>
          <w:tcPr>
            <w:tcW w:w="666" w:type="pct"/>
            <w:tcBorders>
              <w:top w:val="nil"/>
              <w:left w:val="nil"/>
              <w:bottom w:val="nil"/>
              <w:right w:val="nil"/>
            </w:tcBorders>
            <w:shd w:val="clear" w:color="auto" w:fill="auto"/>
            <w:noWrap/>
            <w:vAlign w:val="center"/>
            <w:hideMark/>
          </w:tcPr>
          <w:p w14:paraId="523EFF55" w14:textId="77777777" w:rsidR="00D8570C" w:rsidRPr="005B2FA1" w:rsidRDefault="00D8570C" w:rsidP="00790FBA">
            <w:pPr>
              <w:spacing w:line="260" w:lineRule="exact"/>
              <w:rPr>
                <w:rFonts w:eastAsia="Calibri" w:cs="Times"/>
                <w:sz w:val="20"/>
              </w:rPr>
            </w:pPr>
            <w:r w:rsidRPr="005B2FA1">
              <w:rPr>
                <w:rFonts w:eastAsia="Calibri" w:cs="Times"/>
                <w:sz w:val="20"/>
              </w:rPr>
              <w:t>0.40353</w:t>
            </w:r>
          </w:p>
        </w:tc>
        <w:tc>
          <w:tcPr>
            <w:tcW w:w="856" w:type="pct"/>
            <w:vMerge w:val="restart"/>
            <w:tcBorders>
              <w:top w:val="nil"/>
              <w:left w:val="nil"/>
              <w:bottom w:val="single" w:sz="4" w:space="0" w:color="000000"/>
              <w:right w:val="nil"/>
            </w:tcBorders>
            <w:shd w:val="clear" w:color="auto" w:fill="auto"/>
            <w:noWrap/>
            <w:vAlign w:val="center"/>
            <w:hideMark/>
          </w:tcPr>
          <w:p w14:paraId="55D63F56" w14:textId="77777777" w:rsidR="00D8570C" w:rsidRPr="005B2FA1" w:rsidRDefault="00D8570C" w:rsidP="00790FBA">
            <w:pPr>
              <w:spacing w:line="260" w:lineRule="exact"/>
              <w:rPr>
                <w:rFonts w:eastAsia="Calibri" w:cs="Times"/>
                <w:sz w:val="20"/>
              </w:rPr>
            </w:pPr>
            <w:r w:rsidRPr="005B2FA1">
              <w:rPr>
                <w:rFonts w:eastAsia="Calibri" w:cs="Times"/>
                <w:sz w:val="20"/>
              </w:rPr>
              <w:t>-23.579</w:t>
            </w:r>
          </w:p>
        </w:tc>
        <w:tc>
          <w:tcPr>
            <w:tcW w:w="571" w:type="pct"/>
            <w:vMerge w:val="restart"/>
            <w:tcBorders>
              <w:top w:val="nil"/>
              <w:left w:val="nil"/>
              <w:bottom w:val="single" w:sz="4" w:space="0" w:color="000000"/>
              <w:right w:val="nil"/>
            </w:tcBorders>
            <w:shd w:val="clear" w:color="auto" w:fill="auto"/>
            <w:noWrap/>
            <w:vAlign w:val="center"/>
            <w:hideMark/>
          </w:tcPr>
          <w:p w14:paraId="1748AFD2" w14:textId="77777777" w:rsidR="00D8570C" w:rsidRPr="005B2FA1" w:rsidRDefault="00D8570C" w:rsidP="00790FBA">
            <w:pPr>
              <w:spacing w:line="260" w:lineRule="exact"/>
              <w:rPr>
                <w:rFonts w:eastAsia="Calibri" w:cs="Times"/>
                <w:sz w:val="20"/>
              </w:rPr>
            </w:pPr>
            <w:r w:rsidRPr="005B2FA1">
              <w:rPr>
                <w:rFonts w:eastAsia="Calibri" w:cs="Times"/>
                <w:sz w:val="20"/>
              </w:rPr>
              <w:t>12506</w:t>
            </w:r>
          </w:p>
        </w:tc>
        <w:tc>
          <w:tcPr>
            <w:tcW w:w="528" w:type="pct"/>
            <w:vMerge w:val="restart"/>
            <w:tcBorders>
              <w:top w:val="nil"/>
              <w:left w:val="nil"/>
              <w:bottom w:val="single" w:sz="4" w:space="0" w:color="000000"/>
              <w:right w:val="nil"/>
            </w:tcBorders>
            <w:shd w:val="clear" w:color="auto" w:fill="auto"/>
            <w:noWrap/>
            <w:vAlign w:val="center"/>
            <w:hideMark/>
          </w:tcPr>
          <w:p w14:paraId="5A8DBC24" w14:textId="77777777" w:rsidR="00D8570C" w:rsidRPr="005B2FA1" w:rsidRDefault="00D8570C" w:rsidP="00790FBA">
            <w:pPr>
              <w:spacing w:line="260" w:lineRule="exact"/>
              <w:rPr>
                <w:rFonts w:eastAsia="Calibri" w:cs="Times"/>
                <w:sz w:val="20"/>
              </w:rPr>
            </w:pPr>
            <w:r w:rsidRPr="005B2FA1">
              <w:rPr>
                <w:rFonts w:eastAsia="Calibri" w:cs="Times"/>
                <w:sz w:val="20"/>
              </w:rPr>
              <w:t>0.000</w:t>
            </w:r>
          </w:p>
        </w:tc>
      </w:tr>
      <w:tr w:rsidR="00D8570C" w:rsidRPr="005B2FA1" w14:paraId="11356A04" w14:textId="77777777" w:rsidTr="00790FBA">
        <w:trPr>
          <w:trHeight w:hRule="exact" w:val="284"/>
          <w:jc w:val="center"/>
        </w:trPr>
        <w:tc>
          <w:tcPr>
            <w:tcW w:w="571" w:type="pct"/>
            <w:vMerge/>
            <w:tcBorders>
              <w:top w:val="nil"/>
              <w:left w:val="nil"/>
              <w:bottom w:val="single" w:sz="4" w:space="0" w:color="000000"/>
              <w:right w:val="nil"/>
            </w:tcBorders>
            <w:vAlign w:val="center"/>
            <w:hideMark/>
          </w:tcPr>
          <w:p w14:paraId="29918E98" w14:textId="77777777" w:rsidR="00D8570C" w:rsidRPr="005B2FA1" w:rsidRDefault="00D8570C" w:rsidP="00790FBA">
            <w:pPr>
              <w:spacing w:line="260" w:lineRule="exact"/>
              <w:rPr>
                <w:rFonts w:eastAsia="Calibri" w:cs="Times"/>
                <w:sz w:val="20"/>
              </w:rPr>
            </w:pPr>
          </w:p>
        </w:tc>
        <w:tc>
          <w:tcPr>
            <w:tcW w:w="570" w:type="pct"/>
            <w:tcBorders>
              <w:top w:val="nil"/>
              <w:left w:val="nil"/>
              <w:bottom w:val="single" w:sz="4" w:space="0" w:color="auto"/>
              <w:right w:val="nil"/>
            </w:tcBorders>
            <w:shd w:val="clear" w:color="auto" w:fill="auto"/>
            <w:vAlign w:val="center"/>
            <w:hideMark/>
          </w:tcPr>
          <w:p w14:paraId="50181E55" w14:textId="77777777" w:rsidR="00D8570C" w:rsidRPr="005B2FA1" w:rsidRDefault="00D8570C" w:rsidP="00790FBA">
            <w:pPr>
              <w:spacing w:line="260" w:lineRule="exact"/>
              <w:rPr>
                <w:rFonts w:eastAsia="Calibri" w:cs="Times"/>
                <w:sz w:val="20"/>
              </w:rPr>
            </w:pPr>
            <w:r w:rsidRPr="005B2FA1">
              <w:rPr>
                <w:rFonts w:eastAsia="Calibri" w:cs="Times"/>
                <w:sz w:val="20"/>
              </w:rPr>
              <w:t>Right</w:t>
            </w:r>
          </w:p>
        </w:tc>
        <w:tc>
          <w:tcPr>
            <w:tcW w:w="571" w:type="pct"/>
            <w:tcBorders>
              <w:top w:val="nil"/>
              <w:left w:val="nil"/>
              <w:bottom w:val="single" w:sz="4" w:space="0" w:color="auto"/>
              <w:right w:val="nil"/>
            </w:tcBorders>
            <w:shd w:val="clear" w:color="auto" w:fill="auto"/>
            <w:noWrap/>
            <w:vAlign w:val="center"/>
            <w:hideMark/>
          </w:tcPr>
          <w:p w14:paraId="485076CC" w14:textId="77777777" w:rsidR="00D8570C" w:rsidRPr="005B2FA1" w:rsidRDefault="00D8570C" w:rsidP="00790FBA">
            <w:pPr>
              <w:spacing w:line="260" w:lineRule="exact"/>
              <w:rPr>
                <w:rFonts w:eastAsia="Calibri" w:cs="Times"/>
                <w:sz w:val="20"/>
              </w:rPr>
            </w:pPr>
            <w:r w:rsidRPr="005B2FA1">
              <w:rPr>
                <w:rFonts w:eastAsia="Calibri" w:cs="Times"/>
                <w:sz w:val="20"/>
              </w:rPr>
              <w:t>3.3429</w:t>
            </w:r>
          </w:p>
        </w:tc>
        <w:tc>
          <w:tcPr>
            <w:tcW w:w="666" w:type="pct"/>
            <w:tcBorders>
              <w:top w:val="nil"/>
              <w:left w:val="nil"/>
              <w:bottom w:val="single" w:sz="4" w:space="0" w:color="auto"/>
              <w:right w:val="nil"/>
            </w:tcBorders>
            <w:shd w:val="clear" w:color="auto" w:fill="auto"/>
            <w:noWrap/>
            <w:vAlign w:val="center"/>
            <w:hideMark/>
          </w:tcPr>
          <w:p w14:paraId="51EA5ABB" w14:textId="77777777" w:rsidR="00D8570C" w:rsidRPr="005B2FA1" w:rsidRDefault="00D8570C" w:rsidP="00790FBA">
            <w:pPr>
              <w:spacing w:line="260" w:lineRule="exact"/>
              <w:rPr>
                <w:rFonts w:eastAsia="Calibri" w:cs="Times"/>
                <w:sz w:val="20"/>
              </w:rPr>
            </w:pPr>
            <w:r w:rsidRPr="005B2FA1">
              <w:rPr>
                <w:rFonts w:eastAsia="Calibri" w:cs="Times"/>
                <w:sz w:val="20"/>
              </w:rPr>
              <w:t>12507</w:t>
            </w:r>
          </w:p>
        </w:tc>
        <w:tc>
          <w:tcPr>
            <w:tcW w:w="666" w:type="pct"/>
            <w:tcBorders>
              <w:top w:val="nil"/>
              <w:left w:val="nil"/>
              <w:bottom w:val="single" w:sz="4" w:space="0" w:color="auto"/>
              <w:right w:val="nil"/>
            </w:tcBorders>
            <w:shd w:val="clear" w:color="auto" w:fill="auto"/>
            <w:noWrap/>
            <w:vAlign w:val="center"/>
            <w:hideMark/>
          </w:tcPr>
          <w:p w14:paraId="26A7A3FB" w14:textId="77777777" w:rsidR="00D8570C" w:rsidRPr="005B2FA1" w:rsidRDefault="00D8570C" w:rsidP="00790FBA">
            <w:pPr>
              <w:spacing w:line="260" w:lineRule="exact"/>
              <w:rPr>
                <w:rFonts w:eastAsia="Calibri" w:cs="Times"/>
                <w:sz w:val="20"/>
              </w:rPr>
            </w:pPr>
            <w:r w:rsidRPr="005B2FA1">
              <w:rPr>
                <w:rFonts w:eastAsia="Calibri" w:cs="Times"/>
                <w:sz w:val="20"/>
              </w:rPr>
              <w:t>0.44857</w:t>
            </w:r>
          </w:p>
        </w:tc>
        <w:tc>
          <w:tcPr>
            <w:tcW w:w="856" w:type="pct"/>
            <w:vMerge/>
            <w:tcBorders>
              <w:top w:val="nil"/>
              <w:left w:val="nil"/>
              <w:bottom w:val="single" w:sz="4" w:space="0" w:color="000000"/>
              <w:right w:val="nil"/>
            </w:tcBorders>
            <w:vAlign w:val="center"/>
            <w:hideMark/>
          </w:tcPr>
          <w:p w14:paraId="084AAB2E" w14:textId="77777777" w:rsidR="00D8570C" w:rsidRPr="005B2FA1" w:rsidRDefault="00D8570C" w:rsidP="00790FBA">
            <w:pPr>
              <w:spacing w:line="260" w:lineRule="exact"/>
              <w:rPr>
                <w:rFonts w:eastAsia="Calibri" w:cs="Times"/>
                <w:sz w:val="20"/>
              </w:rPr>
            </w:pPr>
          </w:p>
        </w:tc>
        <w:tc>
          <w:tcPr>
            <w:tcW w:w="571" w:type="pct"/>
            <w:vMerge/>
            <w:tcBorders>
              <w:top w:val="nil"/>
              <w:left w:val="nil"/>
              <w:bottom w:val="single" w:sz="4" w:space="0" w:color="000000"/>
              <w:right w:val="nil"/>
            </w:tcBorders>
            <w:vAlign w:val="center"/>
            <w:hideMark/>
          </w:tcPr>
          <w:p w14:paraId="3395B2C4" w14:textId="77777777" w:rsidR="00D8570C" w:rsidRPr="005B2FA1" w:rsidRDefault="00D8570C" w:rsidP="00790FBA">
            <w:pPr>
              <w:spacing w:line="260" w:lineRule="exact"/>
              <w:rPr>
                <w:rFonts w:eastAsia="Calibri" w:cs="Times"/>
                <w:sz w:val="20"/>
              </w:rPr>
            </w:pPr>
          </w:p>
        </w:tc>
        <w:tc>
          <w:tcPr>
            <w:tcW w:w="528" w:type="pct"/>
            <w:vMerge/>
            <w:tcBorders>
              <w:top w:val="nil"/>
              <w:left w:val="nil"/>
              <w:bottom w:val="single" w:sz="4" w:space="0" w:color="000000"/>
              <w:right w:val="nil"/>
            </w:tcBorders>
            <w:vAlign w:val="center"/>
            <w:hideMark/>
          </w:tcPr>
          <w:p w14:paraId="10F7E5BE" w14:textId="77777777" w:rsidR="00D8570C" w:rsidRPr="005B2FA1" w:rsidRDefault="00D8570C" w:rsidP="00790FBA">
            <w:pPr>
              <w:spacing w:line="260" w:lineRule="exact"/>
              <w:rPr>
                <w:rFonts w:eastAsia="Calibri" w:cs="Times"/>
                <w:sz w:val="20"/>
              </w:rPr>
            </w:pPr>
          </w:p>
        </w:tc>
      </w:tr>
    </w:tbl>
    <w:p w14:paraId="4930D393" w14:textId="77777777" w:rsidR="00D8570C" w:rsidRPr="006702F7" w:rsidRDefault="00D8570C" w:rsidP="00D8570C">
      <w:pPr>
        <w:spacing w:line="260" w:lineRule="exact"/>
        <w:rPr>
          <w:rFonts w:ascii="Times New Roman" w:eastAsia="Calibri" w:hAnsi="Times New Roman"/>
          <w:lang w:val="en-IN"/>
        </w:rPr>
      </w:pPr>
    </w:p>
    <w:p w14:paraId="71318A1D" w14:textId="77777777" w:rsidR="00D8570C" w:rsidRDefault="00D8570C" w:rsidP="00D8570C">
      <w:pPr>
        <w:overflowPunct w:val="0"/>
        <w:autoSpaceDE w:val="0"/>
        <w:autoSpaceDN w:val="0"/>
        <w:adjustRightInd w:val="0"/>
        <w:spacing w:after="120" w:line="240" w:lineRule="atLeast"/>
        <w:textAlignment w:val="baseline"/>
        <w:rPr>
          <w:rFonts w:cs="Times"/>
          <w:sz w:val="20"/>
          <w:lang w:val="en-US"/>
        </w:rPr>
      </w:pPr>
    </w:p>
    <w:p w14:paraId="148C60F7" w14:textId="36BAC8AC" w:rsidR="00D8570C" w:rsidRDefault="00D8570C" w:rsidP="00D8570C">
      <w:pPr>
        <w:rPr>
          <w:lang w:val="en-US"/>
        </w:rPr>
      </w:pPr>
      <w:r w:rsidRPr="009F70C9">
        <w:rPr>
          <w:lang w:val="en-US"/>
        </w:rPr>
        <w:t xml:space="preserve">Table </w:t>
      </w:r>
      <w:r w:rsidR="00330F29">
        <w:rPr>
          <w:lang w:val="en-US"/>
        </w:rPr>
        <w:t>3</w:t>
      </w:r>
      <w:r w:rsidRPr="009F70C9">
        <w:rPr>
          <w:lang w:val="en-US"/>
        </w:rPr>
        <w:t xml:space="preserve"> indicates a paired t-test comparing left and right eye dilation. There was a </w:t>
      </w:r>
      <w:r>
        <w:rPr>
          <w:lang w:val="en-US"/>
        </w:rPr>
        <w:t>s</w:t>
      </w:r>
      <w:r w:rsidRPr="009F70C9">
        <w:rPr>
          <w:lang w:val="en-US"/>
        </w:rPr>
        <w:t>ignificant difference (</w:t>
      </w:r>
      <w:proofErr w:type="spellStart"/>
      <w:r w:rsidRPr="009F70C9">
        <w:rPr>
          <w:lang w:val="en-US"/>
        </w:rPr>
        <w:t>df</w:t>
      </w:r>
      <w:proofErr w:type="spellEnd"/>
      <w:r w:rsidRPr="009F70C9">
        <w:rPr>
          <w:lang w:val="en-US"/>
        </w:rPr>
        <w:t xml:space="preserve"> = 12506, t = -23.579, p &lt; 0.05). The right eye had a higher mean dilation score (3.3429 ± 0.45) compared to the left eye (3.3146 ± 0.40353). This suggests asymmetry in cognitive process</w:t>
      </w:r>
      <w:r>
        <w:rPr>
          <w:lang w:val="en-US"/>
        </w:rPr>
        <w:t xml:space="preserve"> </w:t>
      </w:r>
      <w:r w:rsidRPr="009F70C9">
        <w:rPr>
          <w:lang w:val="en-US"/>
        </w:rPr>
        <w:t>during reading tasks, possibly reflecting differential cognitive workload management between the two eyes</w:t>
      </w:r>
    </w:p>
    <w:p w14:paraId="6AE5BB55" w14:textId="77777777" w:rsidR="005B2FA1" w:rsidRDefault="005B2FA1" w:rsidP="005B2FA1">
      <w:pPr>
        <w:spacing w:line="260" w:lineRule="exact"/>
        <w:rPr>
          <w:rFonts w:ascii="Times New Roman" w:eastAsia="Calibri" w:hAnsi="Times New Roman"/>
          <w:lang w:val="en-IN"/>
        </w:rPr>
      </w:pPr>
    </w:p>
    <w:p w14:paraId="5CF35852" w14:textId="54F07B38" w:rsidR="00CD4E1C" w:rsidRPr="005B2FA1" w:rsidRDefault="00CD4E1C" w:rsidP="00CD4E1C">
      <w:pPr>
        <w:pStyle w:val="Subtitle1"/>
      </w:pPr>
      <w:r>
        <w:lastRenderedPageBreak/>
        <w:t>Conclusion</w:t>
      </w:r>
    </w:p>
    <w:p w14:paraId="39D76C85" w14:textId="5A9919F0" w:rsidR="00797C98" w:rsidRDefault="00797C98" w:rsidP="00797C98">
      <w:pPr>
        <w:rPr>
          <w:rFonts w:cs="Times"/>
        </w:rPr>
      </w:pPr>
      <w:r w:rsidRPr="006119AA">
        <w:rPr>
          <w:rFonts w:cs="Times"/>
        </w:rPr>
        <w:t>The results of the study demonstrate how sensitive pupil dilation is as an indication of cognitive workload in children with ASDC</w:t>
      </w:r>
      <w:r>
        <w:rPr>
          <w:rFonts w:cs="Times"/>
        </w:rPr>
        <w:t xml:space="preserve">. </w:t>
      </w:r>
      <w:r w:rsidRPr="006119AA">
        <w:rPr>
          <w:rFonts w:cs="Times"/>
        </w:rPr>
        <w:t>The significant differences in pupil dilation across different cognitive workloads im-ply that the cognitive demands rise with the difficulty of reading tasks, and this rise resulted in increased pupil dilation</w:t>
      </w:r>
      <w:r w:rsidRPr="00CD4E1C">
        <w:rPr>
          <w:rFonts w:cs="Times"/>
        </w:rPr>
        <w:t xml:space="preserve"> This finding </w:t>
      </w:r>
      <w:r>
        <w:rPr>
          <w:rFonts w:cs="Times"/>
        </w:rPr>
        <w:t>are</w:t>
      </w:r>
      <w:r w:rsidRPr="00CD4E1C">
        <w:rPr>
          <w:rFonts w:cs="Times"/>
        </w:rPr>
        <w:t xml:space="preserve"> critical for developing</w:t>
      </w:r>
      <w:r>
        <w:rPr>
          <w:rFonts w:cs="Times"/>
        </w:rPr>
        <w:t xml:space="preserve"> the</w:t>
      </w:r>
      <w:r w:rsidRPr="00CD4E1C">
        <w:rPr>
          <w:rFonts w:cs="Times"/>
        </w:rPr>
        <w:t xml:space="preserve"> educational interventions </w:t>
      </w:r>
      <w:r>
        <w:rPr>
          <w:rFonts w:cs="Times"/>
        </w:rPr>
        <w:t>designed</w:t>
      </w:r>
      <w:r w:rsidRPr="00CD4E1C">
        <w:rPr>
          <w:rFonts w:cs="Times"/>
        </w:rPr>
        <w:t xml:space="preserve"> to the cognitive profiles of children with ASDC, as it provides a non-invasive me</w:t>
      </w:r>
      <w:r>
        <w:rPr>
          <w:rFonts w:cs="Times"/>
        </w:rPr>
        <w:t xml:space="preserve">asure </w:t>
      </w:r>
      <w:r w:rsidRPr="00CD4E1C">
        <w:rPr>
          <w:rFonts w:cs="Times"/>
        </w:rPr>
        <w:t xml:space="preserve">to monitor and adjust cognitive workload during reading activities. </w:t>
      </w:r>
    </w:p>
    <w:p w14:paraId="186AEC1B" w14:textId="77777777" w:rsidR="00797C98" w:rsidRDefault="00797C98" w:rsidP="00797C98">
      <w:pPr>
        <w:rPr>
          <w:rFonts w:cs="Times"/>
        </w:rPr>
      </w:pPr>
    </w:p>
    <w:p w14:paraId="58F08DB7" w14:textId="58F844A2" w:rsidR="00797C98" w:rsidRDefault="00797C98" w:rsidP="00797C98">
      <w:pPr>
        <w:rPr>
          <w:rFonts w:cs="Times"/>
        </w:rPr>
      </w:pPr>
      <w:r w:rsidRPr="00782764">
        <w:rPr>
          <w:rFonts w:cs="Times"/>
        </w:rPr>
        <w:t xml:space="preserve">The study obtained accurate eye-tracking data by ensuring the subjects retained their visual cues during the reading assessment. </w:t>
      </w:r>
      <w:r w:rsidRPr="00CD4E1C">
        <w:rPr>
          <w:rFonts w:cs="Times"/>
        </w:rPr>
        <w:t xml:space="preserve">The use of one-way ANOVA and paired t-tests </w:t>
      </w:r>
      <w:r>
        <w:t xml:space="preserve">as the statistical analysis provided </w:t>
      </w:r>
      <w:r w:rsidRPr="00CD4E1C">
        <w:rPr>
          <w:rFonts w:cs="Times"/>
        </w:rPr>
        <w:t xml:space="preserve">robust </w:t>
      </w:r>
      <w:r>
        <w:rPr>
          <w:rFonts w:cs="Times"/>
        </w:rPr>
        <w:t>findings</w:t>
      </w:r>
      <w:r w:rsidRPr="00CD4E1C">
        <w:rPr>
          <w:rFonts w:cs="Times"/>
        </w:rPr>
        <w:t xml:space="preserve">, </w:t>
      </w:r>
      <w:r>
        <w:rPr>
          <w:rFonts w:cs="Times"/>
        </w:rPr>
        <w:t xml:space="preserve">proving </w:t>
      </w:r>
      <w:r w:rsidRPr="00CD4E1C">
        <w:rPr>
          <w:rFonts w:cs="Times"/>
        </w:rPr>
        <w:t>the study's objective to</w:t>
      </w:r>
      <w:r>
        <w:rPr>
          <w:rFonts w:cs="Times"/>
        </w:rPr>
        <w:t xml:space="preserve"> assess </w:t>
      </w:r>
      <w:r w:rsidRPr="00CD4E1C">
        <w:rPr>
          <w:rFonts w:cs="Times"/>
        </w:rPr>
        <w:t xml:space="preserve">cognitive workload characteristics </w:t>
      </w:r>
      <w:r>
        <w:rPr>
          <w:rFonts w:cs="Times"/>
        </w:rPr>
        <w:t xml:space="preserve">that </w:t>
      </w:r>
      <w:r w:rsidRPr="00782764">
        <w:rPr>
          <w:rFonts w:cs="Times"/>
        </w:rPr>
        <w:t>effect</w:t>
      </w:r>
      <w:r w:rsidRPr="00CD4E1C">
        <w:rPr>
          <w:rFonts w:cs="Times"/>
        </w:rPr>
        <w:t xml:space="preserve"> reading performance </w:t>
      </w:r>
      <w:r w:rsidRPr="00782764">
        <w:rPr>
          <w:rFonts w:cs="Times"/>
        </w:rPr>
        <w:t xml:space="preserve">among ASDC children through variations of pupil dilation examination. </w:t>
      </w:r>
      <w:r w:rsidRPr="00CD4E1C">
        <w:rPr>
          <w:rFonts w:cs="Times"/>
        </w:rPr>
        <w:t xml:space="preserve"> These </w:t>
      </w:r>
      <w:r w:rsidRPr="00782764">
        <w:rPr>
          <w:rFonts w:cs="Times"/>
        </w:rPr>
        <w:t>findings</w:t>
      </w:r>
      <w:r w:rsidRPr="00CD4E1C">
        <w:rPr>
          <w:rFonts w:cs="Times"/>
        </w:rPr>
        <w:t xml:space="preserve"> </w:t>
      </w:r>
      <w:r w:rsidRPr="00782764">
        <w:rPr>
          <w:rFonts w:cs="Times"/>
        </w:rPr>
        <w:t xml:space="preserve">may help the educational sectors and policymakers in strengthening </w:t>
      </w:r>
      <w:r w:rsidRPr="00CD4E1C">
        <w:rPr>
          <w:rFonts w:cs="Times"/>
        </w:rPr>
        <w:t xml:space="preserve">strategies to enhance reading fluency and comprehension </w:t>
      </w:r>
      <w:r w:rsidRPr="00782764">
        <w:rPr>
          <w:rFonts w:cs="Times"/>
        </w:rPr>
        <w:t>among</w:t>
      </w:r>
      <w:r w:rsidRPr="00CD4E1C">
        <w:rPr>
          <w:rFonts w:cs="Times"/>
        </w:rPr>
        <w:t xml:space="preserve"> children with ASDC by considering individual cognitive workload </w:t>
      </w:r>
      <w:r w:rsidRPr="00782764">
        <w:rPr>
          <w:rFonts w:cs="Times"/>
        </w:rPr>
        <w:t>capabilit</w:t>
      </w:r>
      <w:r>
        <w:rPr>
          <w:rFonts w:cs="Times"/>
        </w:rPr>
        <w:t>ies.</w:t>
      </w:r>
      <w:r w:rsidR="00EA76C0">
        <w:rPr>
          <w:rFonts w:cs="Times"/>
        </w:rPr>
        <w:t xml:space="preserve"> </w:t>
      </w:r>
      <w:r w:rsidR="00EA76C0" w:rsidRPr="00EA76C0">
        <w:rPr>
          <w:rFonts w:cs="Times"/>
        </w:rPr>
        <w:t>This could potentially improve their reading skills and comprehension through a customized technological educational approach.</w:t>
      </w:r>
    </w:p>
    <w:p w14:paraId="2ABB9312" w14:textId="1F799161" w:rsidR="00EA0C3B" w:rsidRDefault="00EA0C3B" w:rsidP="00CD4E1C">
      <w:pPr>
        <w:rPr>
          <w:rFonts w:cs="Times"/>
        </w:rPr>
      </w:pPr>
    </w:p>
    <w:p w14:paraId="1F5CE699" w14:textId="77777777" w:rsidR="00EA0C3B" w:rsidRPr="006702F7" w:rsidRDefault="00EA0C3B" w:rsidP="00EA0C3B">
      <w:pPr>
        <w:tabs>
          <w:tab w:val="left" w:pos="1560"/>
        </w:tabs>
        <w:overflowPunct w:val="0"/>
        <w:autoSpaceDE w:val="0"/>
        <w:autoSpaceDN w:val="0"/>
        <w:adjustRightInd w:val="0"/>
        <w:spacing w:line="240" w:lineRule="atLeast"/>
        <w:ind w:firstLine="227"/>
        <w:textAlignment w:val="baseline"/>
        <w:rPr>
          <w:rFonts w:ascii="Times New Roman" w:hAnsi="Times New Roman"/>
          <w:sz w:val="20"/>
          <w:lang w:val="en-US"/>
        </w:rPr>
      </w:pPr>
    </w:p>
    <w:p w14:paraId="32665143" w14:textId="5A08407E" w:rsidR="00EA3F4B" w:rsidRDefault="008C18E6" w:rsidP="008C18E6">
      <w:pPr>
        <w:pStyle w:val="Subtitle1"/>
        <w:numPr>
          <w:ilvl w:val="0"/>
          <w:numId w:val="0"/>
        </w:numPr>
      </w:pPr>
      <w:r>
        <w:t>References</w:t>
      </w:r>
    </w:p>
    <w:p w14:paraId="20190DAC" w14:textId="77777777" w:rsidR="008C18E6" w:rsidRPr="005B2FA1" w:rsidRDefault="008C18E6" w:rsidP="008C18E6">
      <w:pPr>
        <w:pStyle w:val="Subtitle1"/>
        <w:numPr>
          <w:ilvl w:val="0"/>
          <w:numId w:val="0"/>
        </w:numPr>
      </w:pPr>
    </w:p>
    <w:p w14:paraId="1A483B9A" w14:textId="0D4206F7" w:rsidR="00EA3F4B" w:rsidRDefault="008C18E6" w:rsidP="00A22E11">
      <w:pPr>
        <w:pStyle w:val="REFFERENCES2"/>
        <w:rPr>
          <w:rStyle w:val="REFFERENCES2Char"/>
        </w:rPr>
      </w:pPr>
      <w:r w:rsidRPr="00A22E11">
        <w:rPr>
          <w:rStyle w:val="REFFERENCES2Char"/>
        </w:rPr>
        <w:t>Dawson</w:t>
      </w:r>
      <w:r w:rsidRPr="009E0BFC">
        <w:rPr>
          <w:rStyle w:val="REFFERENCES2Char"/>
        </w:rPr>
        <w:t>, G., et.al 2012 Early behavioral intervention is associated with normalized brain activity in young children with autism. (Journal of the American Academy of Child &amp; Adolescent Psychiatry, 51(11)) p 1150-1159.</w:t>
      </w:r>
    </w:p>
    <w:p w14:paraId="6D4133E9" w14:textId="5FC9B760" w:rsidR="000F2ED3" w:rsidRDefault="000F2ED3" w:rsidP="00A22E11">
      <w:pPr>
        <w:pStyle w:val="REFFERENCES2"/>
        <w:rPr>
          <w:rStyle w:val="REFFERENCES2Char"/>
        </w:rPr>
      </w:pPr>
      <w:proofErr w:type="spellStart"/>
      <w:r w:rsidRPr="000F2ED3">
        <w:rPr>
          <w:rStyle w:val="REFFERENCES2Char"/>
        </w:rPr>
        <w:t>Bukszpan</w:t>
      </w:r>
      <w:proofErr w:type="spellEnd"/>
      <w:r w:rsidRPr="000F2ED3">
        <w:rPr>
          <w:rStyle w:val="REFFERENCES2Char"/>
        </w:rPr>
        <w:t xml:space="preserve">, A.R. and Streff, T. 2022 </w:t>
      </w:r>
      <w:r w:rsidRPr="004E2DF6">
        <w:rPr>
          <w:rStyle w:val="REFFERENCES2Char"/>
          <w:i/>
          <w:iCs/>
        </w:rPr>
        <w:t>Community Settings and Individuals with Autism.</w:t>
      </w:r>
      <w:r w:rsidRPr="000F2ED3">
        <w:rPr>
          <w:rStyle w:val="REFFERENCES2Char"/>
        </w:rPr>
        <w:t xml:space="preserve"> </w:t>
      </w:r>
      <w:r w:rsidR="004E2DF6">
        <w:rPr>
          <w:rStyle w:val="REFFERENCES2Char"/>
        </w:rPr>
        <w:t>(</w:t>
      </w:r>
      <w:r w:rsidRPr="000F2ED3">
        <w:rPr>
          <w:rStyle w:val="REFFERENCES2Char"/>
        </w:rPr>
        <w:t>In Handbook of Quality of Life for Individuals with Autism Spectrum Disorder</w:t>
      </w:r>
      <w:r w:rsidR="004E2DF6">
        <w:rPr>
          <w:rStyle w:val="REFFERENCES2Char"/>
        </w:rPr>
        <w:t xml:space="preserve">) </w:t>
      </w:r>
      <w:r w:rsidRPr="000F2ED3">
        <w:rPr>
          <w:rStyle w:val="REFFERENCES2Char"/>
        </w:rPr>
        <w:t>p 179-204. Cham: Springer International Publishing.</w:t>
      </w:r>
    </w:p>
    <w:p w14:paraId="1C3696CA" w14:textId="2A885688" w:rsidR="000F2ED3" w:rsidRPr="009E0BFC" w:rsidRDefault="000F2ED3" w:rsidP="00A22E11">
      <w:pPr>
        <w:pStyle w:val="REFFERENCES2"/>
        <w:rPr>
          <w:rStyle w:val="REFFERENCES2Char"/>
        </w:rPr>
      </w:pPr>
      <w:proofErr w:type="spellStart"/>
      <w:r w:rsidRPr="000F2ED3">
        <w:rPr>
          <w:rStyle w:val="REFFERENCES2Char"/>
        </w:rPr>
        <w:t>Kalyuga</w:t>
      </w:r>
      <w:proofErr w:type="spellEnd"/>
      <w:r w:rsidRPr="000F2ED3">
        <w:rPr>
          <w:rStyle w:val="REFFERENCES2Char"/>
        </w:rPr>
        <w:t xml:space="preserve">, S. and Plass, J.L. 2017 </w:t>
      </w:r>
      <w:r w:rsidRPr="004E2DF6">
        <w:rPr>
          <w:rStyle w:val="REFFERENCES2Char"/>
          <w:i/>
          <w:iCs/>
        </w:rPr>
        <w:t>Cognitive load as a local characteristic of cognitive processes.</w:t>
      </w:r>
      <w:r w:rsidRPr="000F2ED3">
        <w:rPr>
          <w:rStyle w:val="REFFERENCES2Char"/>
        </w:rPr>
        <w:t xml:space="preserve"> </w:t>
      </w:r>
      <w:r w:rsidR="004E2DF6">
        <w:rPr>
          <w:rStyle w:val="REFFERENCES2Char"/>
        </w:rPr>
        <w:t>(</w:t>
      </w:r>
      <w:r w:rsidRPr="000F2ED3">
        <w:rPr>
          <w:rStyle w:val="REFFERENCES2Char"/>
        </w:rPr>
        <w:t>Cognitive load.</w:t>
      </w:r>
      <w:r w:rsidR="004E2DF6">
        <w:rPr>
          <w:rStyle w:val="REFFERENCES2Char"/>
        </w:rPr>
        <w:t>)</w:t>
      </w:r>
    </w:p>
    <w:p w14:paraId="602348A1" w14:textId="56FFD9D8" w:rsidR="00EA3F4B" w:rsidRPr="005B2FA1" w:rsidRDefault="008C18E6" w:rsidP="00A22E11">
      <w:pPr>
        <w:pStyle w:val="REFFERENCES2"/>
      </w:pPr>
      <w:r w:rsidRPr="008C18E6">
        <w:t xml:space="preserve">Jones, C.R., </w:t>
      </w:r>
      <w:proofErr w:type="spellStart"/>
      <w:r w:rsidRPr="008C18E6">
        <w:t>Happé</w:t>
      </w:r>
      <w:proofErr w:type="spellEnd"/>
      <w:r w:rsidRPr="008C18E6">
        <w:t xml:space="preserve">, F., Golden, H., Marsden, A.J., Tregay, J., Simonoff, E., Pickles, A., Baird, G. and Charman, T. 2009 </w:t>
      </w:r>
      <w:r w:rsidRPr="008C18E6">
        <w:rPr>
          <w:i/>
          <w:iCs/>
        </w:rPr>
        <w:t>Reading and arithmetic in adolescents with autism spectrum disorders: peaks and dips in attainment.</w:t>
      </w:r>
      <w:r w:rsidRPr="008C18E6">
        <w:t xml:space="preserve"> </w:t>
      </w:r>
      <w:r>
        <w:t>(</w:t>
      </w:r>
      <w:r w:rsidRPr="008C18E6">
        <w:t>Neuropsychology, 23(6)</w:t>
      </w:r>
      <w:r>
        <w:t>)</w:t>
      </w:r>
      <w:r w:rsidRPr="008C18E6">
        <w:t xml:space="preserve"> p</w:t>
      </w:r>
      <w:r>
        <w:t xml:space="preserve"> </w:t>
      </w:r>
      <w:r w:rsidRPr="008C18E6">
        <w:t>718.</w:t>
      </w:r>
    </w:p>
    <w:p w14:paraId="44A61F7B" w14:textId="5E54908E" w:rsidR="00EA3F4B" w:rsidRDefault="008C18E6" w:rsidP="00A22E11">
      <w:pPr>
        <w:pStyle w:val="REFFERENCES2"/>
      </w:pPr>
      <w:r w:rsidRPr="008C18E6">
        <w:t xml:space="preserve">Beatty, J., 1982 </w:t>
      </w:r>
      <w:r w:rsidRPr="004E2DF6">
        <w:rPr>
          <w:i/>
          <w:iCs/>
        </w:rPr>
        <w:t>Task-evoked pupillary responses, processing load, and the structure of processing resources.</w:t>
      </w:r>
      <w:r w:rsidRPr="008C18E6">
        <w:t xml:space="preserve"> </w:t>
      </w:r>
      <w:r w:rsidR="004E2DF6">
        <w:t>(</w:t>
      </w:r>
      <w:r w:rsidRPr="008C18E6">
        <w:t>Psychological bulletin, 91(2)</w:t>
      </w:r>
      <w:r w:rsidR="004E2DF6">
        <w:t>)</w:t>
      </w:r>
      <w:r w:rsidRPr="008C18E6">
        <w:t xml:space="preserve"> p</w:t>
      </w:r>
      <w:r w:rsidR="004E2DF6">
        <w:t xml:space="preserve"> </w:t>
      </w:r>
      <w:r w:rsidRPr="008C18E6">
        <w:t>276.</w:t>
      </w:r>
    </w:p>
    <w:p w14:paraId="3744ECBD" w14:textId="4F45F119" w:rsidR="00416698" w:rsidRDefault="00416698" w:rsidP="00A22E11">
      <w:pPr>
        <w:pStyle w:val="REFFERENCES2"/>
      </w:pPr>
      <w:r w:rsidRPr="00416698">
        <w:t xml:space="preserve">Othman, N., Abdullah, U. N. N., Abdullah, N., Ganesan, G. K., &amp; Bakar, R. 2024. </w:t>
      </w:r>
      <w:r w:rsidRPr="00416698">
        <w:rPr>
          <w:i/>
          <w:iCs/>
        </w:rPr>
        <w:t>Gender Equality in ASDC: Unravelling Societal Challenge in Educational Attainment and Economic Empowerment, Inheritance Access, and Workplace Dynamics in Malaysia.</w:t>
      </w:r>
      <w:r w:rsidRPr="00416698">
        <w:t xml:space="preserve"> </w:t>
      </w:r>
      <w:r>
        <w:t>(</w:t>
      </w:r>
      <w:r w:rsidRPr="00416698">
        <w:t>In International Conference on Gender Research</w:t>
      </w:r>
      <w:r>
        <w:t>)</w:t>
      </w:r>
      <w:r w:rsidRPr="00416698">
        <w:t xml:space="preserve"> Vol. 7, No. 1, pp. 293-302.</w:t>
      </w:r>
    </w:p>
    <w:p w14:paraId="251EB126" w14:textId="6450D1AF" w:rsidR="000F2ED3" w:rsidRPr="005B2FA1" w:rsidRDefault="000F2ED3" w:rsidP="00A22E11">
      <w:pPr>
        <w:pStyle w:val="REFFERENCES2"/>
      </w:pPr>
      <w:proofErr w:type="spellStart"/>
      <w:r w:rsidRPr="000F2ED3">
        <w:t>Wuryanti</w:t>
      </w:r>
      <w:proofErr w:type="spellEnd"/>
      <w:r w:rsidRPr="000F2ED3">
        <w:t xml:space="preserve">, S., &amp; Yasmin, M. F. A. 2023 </w:t>
      </w:r>
      <w:r w:rsidRPr="004E2DF6">
        <w:rPr>
          <w:i/>
          <w:iCs/>
        </w:rPr>
        <w:t>Studies Literacy Reading Autistic Children.</w:t>
      </w:r>
      <w:r w:rsidRPr="000F2ED3">
        <w:t xml:space="preserve"> </w:t>
      </w:r>
      <w:r w:rsidR="004E2DF6">
        <w:t>(</w:t>
      </w:r>
      <w:r w:rsidRPr="000F2ED3">
        <w:t>KnE Social Sciences</w:t>
      </w:r>
      <w:r w:rsidR="004E2DF6">
        <w:t>) p</w:t>
      </w:r>
      <w:r w:rsidRPr="000F2ED3">
        <w:t xml:space="preserve"> 218-228.</w:t>
      </w:r>
    </w:p>
    <w:p w14:paraId="7BB056F8" w14:textId="60F8E912" w:rsidR="00BD131E" w:rsidRDefault="00BD131E" w:rsidP="00BD131E">
      <w:pPr>
        <w:pStyle w:val="REFFERENCES2"/>
      </w:pPr>
      <w:r w:rsidRPr="00BD131E">
        <w:t xml:space="preserve">Ashburner, J., Ziviani, J. and Rodger, S., 2008 </w:t>
      </w:r>
      <w:r w:rsidRPr="004E2DF6">
        <w:rPr>
          <w:i/>
          <w:iCs/>
        </w:rPr>
        <w:t>Sensory processing and classroom emotional, behavioral, and educational outcomes in children with autism spectrum disorder.</w:t>
      </w:r>
      <w:r w:rsidRPr="00BD131E">
        <w:t xml:space="preserve"> </w:t>
      </w:r>
      <w:r w:rsidR="004E2DF6">
        <w:t>(</w:t>
      </w:r>
      <w:r w:rsidRPr="00BD131E">
        <w:t>The American Journal of Occupational Therapy, 62(5)</w:t>
      </w:r>
      <w:r w:rsidR="004E2DF6">
        <w:t xml:space="preserve">) </w:t>
      </w:r>
      <w:r w:rsidRPr="00BD131E">
        <w:t>p</w:t>
      </w:r>
      <w:r w:rsidR="004E2DF6">
        <w:t xml:space="preserve"> </w:t>
      </w:r>
      <w:r w:rsidRPr="00BD131E">
        <w:t>564-573.</w:t>
      </w:r>
    </w:p>
    <w:p w14:paraId="741C0C01" w14:textId="103B1881" w:rsidR="000F2ED3" w:rsidRDefault="000F2ED3" w:rsidP="00BD131E">
      <w:pPr>
        <w:pStyle w:val="REFFERENCES2"/>
      </w:pPr>
      <w:r w:rsidRPr="000F2ED3">
        <w:t xml:space="preserve">Tops, W., Van Den Bergh, A., Noens, I., &amp; </w:t>
      </w:r>
      <w:proofErr w:type="spellStart"/>
      <w:r w:rsidRPr="000F2ED3">
        <w:t>Baeyens</w:t>
      </w:r>
      <w:proofErr w:type="spellEnd"/>
      <w:r w:rsidRPr="000F2ED3">
        <w:t xml:space="preserve">, D. 2017 </w:t>
      </w:r>
      <w:r w:rsidRPr="004E2DF6">
        <w:rPr>
          <w:i/>
          <w:iCs/>
        </w:rPr>
        <w:t>A multi-method assessment of study strategies in higher education students with an autism spectrum disorder.</w:t>
      </w:r>
      <w:r w:rsidRPr="000F2ED3">
        <w:t xml:space="preserve"> </w:t>
      </w:r>
      <w:r w:rsidR="004E2DF6">
        <w:t>(</w:t>
      </w:r>
      <w:r w:rsidRPr="000F2ED3">
        <w:t>Learning and Individual Differences, 59</w:t>
      </w:r>
      <w:r w:rsidR="004E2DF6">
        <w:t>) p</w:t>
      </w:r>
      <w:r w:rsidRPr="000F2ED3">
        <w:t xml:space="preserve"> 141-148.</w:t>
      </w:r>
    </w:p>
    <w:p w14:paraId="45D5CCFB" w14:textId="65F2F305" w:rsidR="00EA3F4B" w:rsidRDefault="00BD131E" w:rsidP="00BD131E">
      <w:pPr>
        <w:pStyle w:val="REFFERENCES2"/>
        <w:rPr>
          <w:rStyle w:val="REFFERENCES2Char"/>
        </w:rPr>
      </w:pPr>
      <w:r w:rsidRPr="00BD131E">
        <w:rPr>
          <w:rStyle w:val="REFFERENCES2Char"/>
        </w:rPr>
        <w:t xml:space="preserve">Joseph, R.M., Keehn, B., Connolly, C., Wolfe, J.M. and Horowitz, T.S. 2009 </w:t>
      </w:r>
      <w:r w:rsidRPr="004E2DF6">
        <w:rPr>
          <w:rStyle w:val="REFFERENCES2Char"/>
          <w:i/>
          <w:iCs/>
        </w:rPr>
        <w:t xml:space="preserve">Why is visual search superior in autism spectrum </w:t>
      </w:r>
      <w:proofErr w:type="gramStart"/>
      <w:r w:rsidRPr="004E2DF6">
        <w:rPr>
          <w:rStyle w:val="REFFERENCES2Char"/>
          <w:i/>
          <w:iCs/>
        </w:rPr>
        <w:t>disorder?.</w:t>
      </w:r>
      <w:proofErr w:type="gramEnd"/>
      <w:r w:rsidRPr="00BD131E">
        <w:rPr>
          <w:rStyle w:val="REFFERENCES2Char"/>
        </w:rPr>
        <w:t xml:space="preserve"> </w:t>
      </w:r>
      <w:r w:rsidR="004E2DF6">
        <w:rPr>
          <w:rStyle w:val="REFFERENCES2Char"/>
        </w:rPr>
        <w:t>(</w:t>
      </w:r>
      <w:r w:rsidRPr="00BD131E">
        <w:rPr>
          <w:rStyle w:val="REFFERENCES2Char"/>
        </w:rPr>
        <w:t>Developmental science, 12(6)</w:t>
      </w:r>
      <w:r w:rsidR="004E2DF6">
        <w:rPr>
          <w:rStyle w:val="REFFERENCES2Char"/>
        </w:rPr>
        <w:t xml:space="preserve">) </w:t>
      </w:r>
      <w:r w:rsidRPr="00BD131E">
        <w:rPr>
          <w:rStyle w:val="REFFERENCES2Char"/>
        </w:rPr>
        <w:t>p</w:t>
      </w:r>
      <w:r w:rsidR="004E2DF6">
        <w:rPr>
          <w:rStyle w:val="REFFERENCES2Char"/>
        </w:rPr>
        <w:t xml:space="preserve"> </w:t>
      </w:r>
      <w:r w:rsidRPr="00BD131E">
        <w:rPr>
          <w:rStyle w:val="REFFERENCES2Char"/>
        </w:rPr>
        <w:t>1083-1096.</w:t>
      </w:r>
    </w:p>
    <w:p w14:paraId="66C0EEDF" w14:textId="038861CA" w:rsidR="00BD131E" w:rsidRDefault="00BD131E" w:rsidP="00BD131E">
      <w:pPr>
        <w:pStyle w:val="REFFERENCES2"/>
        <w:rPr>
          <w:rStyle w:val="times1"/>
          <w:rFonts w:ascii="Times" w:hAnsi="Times"/>
          <w:sz w:val="22"/>
          <w:szCs w:val="22"/>
        </w:rPr>
      </w:pPr>
      <w:r w:rsidRPr="00BD131E">
        <w:rPr>
          <w:rStyle w:val="times1"/>
          <w:rFonts w:ascii="Times" w:hAnsi="Times"/>
          <w:sz w:val="22"/>
          <w:szCs w:val="22"/>
        </w:rPr>
        <w:t xml:space="preserve">Plass, J.L., Moreno, R. and </w:t>
      </w:r>
      <w:proofErr w:type="spellStart"/>
      <w:r w:rsidRPr="00BD131E">
        <w:rPr>
          <w:rStyle w:val="times1"/>
          <w:rFonts w:ascii="Times" w:hAnsi="Times"/>
          <w:sz w:val="22"/>
          <w:szCs w:val="22"/>
        </w:rPr>
        <w:t>Brünken</w:t>
      </w:r>
      <w:proofErr w:type="spellEnd"/>
      <w:r w:rsidRPr="00BD131E">
        <w:rPr>
          <w:rStyle w:val="times1"/>
          <w:rFonts w:ascii="Times" w:hAnsi="Times"/>
          <w:sz w:val="22"/>
          <w:szCs w:val="22"/>
        </w:rPr>
        <w:t>, R. eds. 201</w:t>
      </w:r>
      <w:r w:rsidR="004E2DF6">
        <w:rPr>
          <w:rStyle w:val="times1"/>
          <w:rFonts w:ascii="Times" w:hAnsi="Times"/>
          <w:sz w:val="22"/>
          <w:szCs w:val="22"/>
        </w:rPr>
        <w:t>0</w:t>
      </w:r>
      <w:r w:rsidRPr="00BD131E">
        <w:rPr>
          <w:rStyle w:val="times1"/>
          <w:rFonts w:ascii="Times" w:hAnsi="Times"/>
          <w:sz w:val="22"/>
          <w:szCs w:val="22"/>
        </w:rPr>
        <w:t xml:space="preserve"> </w:t>
      </w:r>
      <w:r w:rsidRPr="004E2DF6">
        <w:rPr>
          <w:rStyle w:val="times1"/>
          <w:rFonts w:ascii="Times" w:hAnsi="Times"/>
          <w:i/>
          <w:iCs/>
          <w:sz w:val="22"/>
          <w:szCs w:val="22"/>
        </w:rPr>
        <w:t>Cognitive load theory.</w:t>
      </w:r>
    </w:p>
    <w:p w14:paraId="1BD5D66D" w14:textId="1E81376D" w:rsidR="00BD131E" w:rsidRDefault="00BD131E" w:rsidP="00BD131E">
      <w:pPr>
        <w:pStyle w:val="REFFERENCES2"/>
        <w:rPr>
          <w:rStyle w:val="times1"/>
          <w:rFonts w:ascii="Times" w:hAnsi="Times"/>
          <w:sz w:val="22"/>
          <w:szCs w:val="22"/>
        </w:rPr>
      </w:pPr>
      <w:r w:rsidRPr="00BD131E">
        <w:rPr>
          <w:rStyle w:val="times1"/>
          <w:rFonts w:ascii="Times" w:hAnsi="Times"/>
          <w:sz w:val="22"/>
          <w:szCs w:val="22"/>
        </w:rPr>
        <w:t xml:space="preserve">Goldstein, S., &amp; </w:t>
      </w:r>
      <w:proofErr w:type="spellStart"/>
      <w:r w:rsidRPr="00BD131E">
        <w:rPr>
          <w:rStyle w:val="times1"/>
          <w:rFonts w:ascii="Times" w:hAnsi="Times"/>
          <w:sz w:val="22"/>
          <w:szCs w:val="22"/>
        </w:rPr>
        <w:t>Ozonoff</w:t>
      </w:r>
      <w:proofErr w:type="spellEnd"/>
      <w:r w:rsidRPr="00BD131E">
        <w:rPr>
          <w:rStyle w:val="times1"/>
          <w:rFonts w:ascii="Times" w:hAnsi="Times"/>
          <w:sz w:val="22"/>
          <w:szCs w:val="22"/>
        </w:rPr>
        <w:t>, S. (Eds.). 2018</w:t>
      </w:r>
      <w:r w:rsidR="004E2DF6">
        <w:rPr>
          <w:rStyle w:val="times1"/>
          <w:rFonts w:ascii="Times" w:hAnsi="Times"/>
          <w:sz w:val="22"/>
          <w:szCs w:val="22"/>
        </w:rPr>
        <w:t xml:space="preserve"> </w:t>
      </w:r>
      <w:r w:rsidRPr="004E2DF6">
        <w:rPr>
          <w:rStyle w:val="times1"/>
          <w:rFonts w:ascii="Times" w:hAnsi="Times"/>
          <w:i/>
          <w:iCs/>
          <w:sz w:val="22"/>
          <w:szCs w:val="22"/>
        </w:rPr>
        <w:t>Assessment of autism spectrum disorder.</w:t>
      </w:r>
      <w:r w:rsidRPr="00BD131E">
        <w:rPr>
          <w:rStyle w:val="times1"/>
          <w:rFonts w:ascii="Times" w:hAnsi="Times"/>
          <w:sz w:val="22"/>
          <w:szCs w:val="22"/>
        </w:rPr>
        <w:t xml:space="preserve"> </w:t>
      </w:r>
      <w:r w:rsidR="004E2DF6">
        <w:rPr>
          <w:rStyle w:val="times1"/>
          <w:rFonts w:ascii="Times" w:hAnsi="Times"/>
          <w:sz w:val="22"/>
          <w:szCs w:val="22"/>
        </w:rPr>
        <w:t>(</w:t>
      </w:r>
      <w:r w:rsidRPr="00BD131E">
        <w:rPr>
          <w:rStyle w:val="times1"/>
          <w:rFonts w:ascii="Times" w:hAnsi="Times"/>
          <w:sz w:val="22"/>
          <w:szCs w:val="22"/>
        </w:rPr>
        <w:t>Guilford Publications.</w:t>
      </w:r>
      <w:r w:rsidR="004E2DF6">
        <w:rPr>
          <w:rStyle w:val="times1"/>
          <w:rFonts w:ascii="Times" w:hAnsi="Times"/>
          <w:sz w:val="22"/>
          <w:szCs w:val="22"/>
        </w:rPr>
        <w:t>)</w:t>
      </w:r>
    </w:p>
    <w:p w14:paraId="75A06F22" w14:textId="21A36EBD" w:rsidR="000F2ED3" w:rsidRDefault="000F2ED3" w:rsidP="00BD131E">
      <w:pPr>
        <w:pStyle w:val="REFFERENCES2"/>
        <w:rPr>
          <w:rStyle w:val="times1"/>
          <w:rFonts w:ascii="Times" w:hAnsi="Times"/>
          <w:sz w:val="22"/>
          <w:szCs w:val="22"/>
        </w:rPr>
      </w:pPr>
      <w:r w:rsidRPr="000F2ED3">
        <w:rPr>
          <w:rStyle w:val="times1"/>
          <w:rFonts w:ascii="Times" w:hAnsi="Times"/>
          <w:sz w:val="22"/>
          <w:szCs w:val="22"/>
        </w:rPr>
        <w:t xml:space="preserve">Tops, W., Van Den Bergh, A., Noens, I., &amp; </w:t>
      </w:r>
      <w:proofErr w:type="spellStart"/>
      <w:r w:rsidRPr="000F2ED3">
        <w:rPr>
          <w:rStyle w:val="times1"/>
          <w:rFonts w:ascii="Times" w:hAnsi="Times"/>
          <w:sz w:val="22"/>
          <w:szCs w:val="22"/>
        </w:rPr>
        <w:t>Baeyens</w:t>
      </w:r>
      <w:proofErr w:type="spellEnd"/>
      <w:r w:rsidRPr="000F2ED3">
        <w:rPr>
          <w:rStyle w:val="times1"/>
          <w:rFonts w:ascii="Times" w:hAnsi="Times"/>
          <w:sz w:val="22"/>
          <w:szCs w:val="22"/>
        </w:rPr>
        <w:t xml:space="preserve">, D. 2017 </w:t>
      </w:r>
      <w:r w:rsidRPr="004E2DF6">
        <w:rPr>
          <w:rStyle w:val="times1"/>
          <w:rFonts w:ascii="Times" w:hAnsi="Times"/>
          <w:i/>
          <w:iCs/>
          <w:sz w:val="22"/>
          <w:szCs w:val="22"/>
        </w:rPr>
        <w:t>A multi-method assessment of study strategies in higher education students with an autism spectrum disorder.</w:t>
      </w:r>
      <w:r w:rsidRPr="000F2ED3">
        <w:rPr>
          <w:rStyle w:val="times1"/>
          <w:rFonts w:ascii="Times" w:hAnsi="Times"/>
          <w:sz w:val="22"/>
          <w:szCs w:val="22"/>
        </w:rPr>
        <w:t xml:space="preserve"> </w:t>
      </w:r>
      <w:r w:rsidR="004E2DF6">
        <w:rPr>
          <w:rStyle w:val="times1"/>
          <w:rFonts w:ascii="Times" w:hAnsi="Times"/>
          <w:sz w:val="22"/>
          <w:szCs w:val="22"/>
        </w:rPr>
        <w:t>(</w:t>
      </w:r>
      <w:r w:rsidRPr="000F2ED3">
        <w:rPr>
          <w:rStyle w:val="times1"/>
          <w:rFonts w:ascii="Times" w:hAnsi="Times"/>
          <w:sz w:val="22"/>
          <w:szCs w:val="22"/>
        </w:rPr>
        <w:t>Learning and Individual Differences, 59</w:t>
      </w:r>
      <w:r w:rsidR="004E2DF6">
        <w:rPr>
          <w:rStyle w:val="times1"/>
          <w:rFonts w:ascii="Times" w:hAnsi="Times"/>
          <w:sz w:val="22"/>
          <w:szCs w:val="22"/>
        </w:rPr>
        <w:t>) p</w:t>
      </w:r>
      <w:r w:rsidRPr="000F2ED3">
        <w:rPr>
          <w:rStyle w:val="times1"/>
          <w:rFonts w:ascii="Times" w:hAnsi="Times"/>
          <w:sz w:val="22"/>
          <w:szCs w:val="22"/>
        </w:rPr>
        <w:t xml:space="preserve"> 141-148.</w:t>
      </w:r>
    </w:p>
    <w:p w14:paraId="5B54758D" w14:textId="224C725A" w:rsidR="00BD131E" w:rsidRDefault="007148BC" w:rsidP="00BD131E">
      <w:pPr>
        <w:pStyle w:val="REFFERENCES2"/>
        <w:rPr>
          <w:rStyle w:val="times1"/>
          <w:rFonts w:ascii="Times" w:hAnsi="Times"/>
          <w:sz w:val="22"/>
          <w:szCs w:val="22"/>
        </w:rPr>
      </w:pPr>
      <w:proofErr w:type="spellStart"/>
      <w:r w:rsidRPr="007148BC">
        <w:rPr>
          <w:rStyle w:val="times1"/>
          <w:rFonts w:ascii="Times" w:hAnsi="Times"/>
          <w:sz w:val="22"/>
          <w:szCs w:val="22"/>
        </w:rPr>
        <w:lastRenderedPageBreak/>
        <w:t>Duchowski</w:t>
      </w:r>
      <w:proofErr w:type="spellEnd"/>
      <w:r w:rsidRPr="007148BC">
        <w:rPr>
          <w:rStyle w:val="times1"/>
          <w:rFonts w:ascii="Times" w:hAnsi="Times"/>
          <w:sz w:val="22"/>
          <w:szCs w:val="22"/>
        </w:rPr>
        <w:t xml:space="preserve">, A.T. and </w:t>
      </w:r>
      <w:proofErr w:type="spellStart"/>
      <w:r w:rsidRPr="007148BC">
        <w:rPr>
          <w:rStyle w:val="times1"/>
          <w:rFonts w:ascii="Times" w:hAnsi="Times"/>
          <w:sz w:val="22"/>
          <w:szCs w:val="22"/>
        </w:rPr>
        <w:t>Duchowski</w:t>
      </w:r>
      <w:proofErr w:type="spellEnd"/>
      <w:r w:rsidRPr="007148BC">
        <w:rPr>
          <w:rStyle w:val="times1"/>
          <w:rFonts w:ascii="Times" w:hAnsi="Times"/>
          <w:sz w:val="22"/>
          <w:szCs w:val="22"/>
        </w:rPr>
        <w:t xml:space="preserve">, A.T. 2017 </w:t>
      </w:r>
      <w:r w:rsidRPr="004E2DF6">
        <w:rPr>
          <w:rStyle w:val="times1"/>
          <w:rFonts w:ascii="Times" w:hAnsi="Times"/>
          <w:i/>
          <w:iCs/>
          <w:sz w:val="22"/>
          <w:szCs w:val="22"/>
        </w:rPr>
        <w:t>Eye tracking methodology: Theory and practice.</w:t>
      </w:r>
      <w:r w:rsidRPr="007148BC">
        <w:rPr>
          <w:rStyle w:val="times1"/>
          <w:rFonts w:ascii="Times" w:hAnsi="Times"/>
          <w:sz w:val="22"/>
          <w:szCs w:val="22"/>
        </w:rPr>
        <w:t xml:space="preserve"> </w:t>
      </w:r>
      <w:r w:rsidR="004E2DF6">
        <w:rPr>
          <w:rStyle w:val="times1"/>
          <w:rFonts w:ascii="Times" w:hAnsi="Times"/>
          <w:sz w:val="22"/>
          <w:szCs w:val="22"/>
        </w:rPr>
        <w:t>(</w:t>
      </w:r>
      <w:r w:rsidRPr="007148BC">
        <w:rPr>
          <w:rStyle w:val="times1"/>
          <w:rFonts w:ascii="Times" w:hAnsi="Times"/>
          <w:sz w:val="22"/>
          <w:szCs w:val="22"/>
        </w:rPr>
        <w:t>Springer.</w:t>
      </w:r>
      <w:r w:rsidR="004E2DF6">
        <w:rPr>
          <w:rStyle w:val="times1"/>
          <w:rFonts w:ascii="Times" w:hAnsi="Times"/>
          <w:sz w:val="22"/>
          <w:szCs w:val="22"/>
        </w:rPr>
        <w:t>)</w:t>
      </w:r>
    </w:p>
    <w:p w14:paraId="4EA3B5EF" w14:textId="645AD50C" w:rsidR="000F2ED3" w:rsidRDefault="000F2ED3" w:rsidP="00BD131E">
      <w:pPr>
        <w:pStyle w:val="REFFERENCES2"/>
        <w:rPr>
          <w:rStyle w:val="times1"/>
          <w:rFonts w:ascii="Times" w:hAnsi="Times"/>
          <w:sz w:val="22"/>
          <w:szCs w:val="22"/>
        </w:rPr>
      </w:pPr>
      <w:r w:rsidRPr="000F2ED3">
        <w:rPr>
          <w:rStyle w:val="times1"/>
          <w:rFonts w:ascii="Times" w:hAnsi="Times"/>
          <w:sz w:val="22"/>
          <w:szCs w:val="22"/>
        </w:rPr>
        <w:t xml:space="preserve">Knight, B.A. and Galletly, S., 2020 </w:t>
      </w:r>
      <w:r w:rsidRPr="004E2DF6">
        <w:rPr>
          <w:rStyle w:val="times1"/>
          <w:rFonts w:ascii="Times" w:hAnsi="Times"/>
          <w:i/>
          <w:iCs/>
          <w:sz w:val="22"/>
          <w:szCs w:val="22"/>
        </w:rPr>
        <w:t>Practical school-level implications of cognitive processing and cognitive load.</w:t>
      </w:r>
      <w:r w:rsidRPr="000F2ED3">
        <w:rPr>
          <w:rStyle w:val="times1"/>
          <w:rFonts w:ascii="Times" w:hAnsi="Times"/>
          <w:sz w:val="22"/>
          <w:szCs w:val="22"/>
        </w:rPr>
        <w:t xml:space="preserve"> </w:t>
      </w:r>
      <w:r w:rsidR="004E2DF6">
        <w:rPr>
          <w:rStyle w:val="times1"/>
          <w:rFonts w:ascii="Times" w:hAnsi="Times"/>
          <w:sz w:val="22"/>
          <w:szCs w:val="22"/>
        </w:rPr>
        <w:t>(</w:t>
      </w:r>
      <w:r w:rsidRPr="000F2ED3">
        <w:rPr>
          <w:rStyle w:val="times1"/>
          <w:rFonts w:ascii="Times" w:hAnsi="Times"/>
          <w:sz w:val="22"/>
          <w:szCs w:val="22"/>
        </w:rPr>
        <w:t>A. Colombus, Advances in Psychology Research</w:t>
      </w:r>
      <w:r w:rsidR="004E2DF6">
        <w:rPr>
          <w:rStyle w:val="times1"/>
          <w:rFonts w:ascii="Times" w:hAnsi="Times"/>
          <w:sz w:val="22"/>
          <w:szCs w:val="22"/>
        </w:rPr>
        <w:t xml:space="preserve">) </w:t>
      </w:r>
      <w:r w:rsidRPr="000F2ED3">
        <w:rPr>
          <w:rStyle w:val="times1"/>
          <w:rFonts w:ascii="Times" w:hAnsi="Times"/>
          <w:sz w:val="22"/>
          <w:szCs w:val="22"/>
        </w:rPr>
        <w:t>p</w:t>
      </w:r>
      <w:r w:rsidR="004E2DF6">
        <w:rPr>
          <w:rStyle w:val="times1"/>
          <w:rFonts w:ascii="Times" w:hAnsi="Times"/>
          <w:sz w:val="22"/>
          <w:szCs w:val="22"/>
        </w:rPr>
        <w:t xml:space="preserve"> </w:t>
      </w:r>
      <w:r w:rsidRPr="000F2ED3">
        <w:rPr>
          <w:rStyle w:val="times1"/>
          <w:rFonts w:ascii="Times" w:hAnsi="Times"/>
          <w:sz w:val="22"/>
          <w:szCs w:val="22"/>
        </w:rPr>
        <w:t>1-90.</w:t>
      </w:r>
    </w:p>
    <w:p w14:paraId="7D936CB4" w14:textId="226BAC5C" w:rsidR="007148BC" w:rsidRDefault="007148BC" w:rsidP="00BD131E">
      <w:pPr>
        <w:pStyle w:val="REFFERENCES2"/>
        <w:rPr>
          <w:rStyle w:val="times1"/>
          <w:rFonts w:ascii="Times" w:hAnsi="Times"/>
          <w:sz w:val="22"/>
          <w:szCs w:val="22"/>
        </w:rPr>
      </w:pPr>
      <w:r w:rsidRPr="007148BC">
        <w:rPr>
          <w:rStyle w:val="times1"/>
          <w:rFonts w:ascii="Times" w:hAnsi="Times"/>
          <w:sz w:val="22"/>
          <w:szCs w:val="22"/>
        </w:rPr>
        <w:t xml:space="preserve">Holmqvist, K., Nyström, M., Andersson, R., Dewhurst, R., </w:t>
      </w:r>
      <w:proofErr w:type="spellStart"/>
      <w:r w:rsidRPr="007148BC">
        <w:rPr>
          <w:rStyle w:val="times1"/>
          <w:rFonts w:ascii="Times" w:hAnsi="Times"/>
          <w:sz w:val="22"/>
          <w:szCs w:val="22"/>
        </w:rPr>
        <w:t>Jarodzka</w:t>
      </w:r>
      <w:proofErr w:type="spellEnd"/>
      <w:r w:rsidRPr="007148BC">
        <w:rPr>
          <w:rStyle w:val="times1"/>
          <w:rFonts w:ascii="Times" w:hAnsi="Times"/>
          <w:sz w:val="22"/>
          <w:szCs w:val="22"/>
        </w:rPr>
        <w:t xml:space="preserve">, H. and Van de </w:t>
      </w:r>
      <w:proofErr w:type="spellStart"/>
      <w:r w:rsidRPr="007148BC">
        <w:rPr>
          <w:rStyle w:val="times1"/>
          <w:rFonts w:ascii="Times" w:hAnsi="Times"/>
          <w:sz w:val="22"/>
          <w:szCs w:val="22"/>
        </w:rPr>
        <w:t>Weijer</w:t>
      </w:r>
      <w:proofErr w:type="spellEnd"/>
      <w:r w:rsidRPr="007148BC">
        <w:rPr>
          <w:rStyle w:val="times1"/>
          <w:rFonts w:ascii="Times" w:hAnsi="Times"/>
          <w:sz w:val="22"/>
          <w:szCs w:val="22"/>
        </w:rPr>
        <w:t xml:space="preserve">, J. 2011 </w:t>
      </w:r>
      <w:r w:rsidRPr="004E2DF6">
        <w:rPr>
          <w:rStyle w:val="times1"/>
          <w:rFonts w:ascii="Times" w:hAnsi="Times"/>
          <w:i/>
          <w:iCs/>
          <w:sz w:val="22"/>
          <w:szCs w:val="22"/>
        </w:rPr>
        <w:t>Eye tracking: A comprehensive guide to methods and measures.</w:t>
      </w:r>
      <w:r w:rsidRPr="007148BC">
        <w:rPr>
          <w:rStyle w:val="times1"/>
          <w:rFonts w:ascii="Times" w:hAnsi="Times"/>
          <w:sz w:val="22"/>
          <w:szCs w:val="22"/>
        </w:rPr>
        <w:t xml:space="preserve"> </w:t>
      </w:r>
      <w:r w:rsidR="004E2DF6">
        <w:rPr>
          <w:rStyle w:val="times1"/>
          <w:rFonts w:ascii="Times" w:hAnsi="Times"/>
          <w:sz w:val="22"/>
          <w:szCs w:val="22"/>
        </w:rPr>
        <w:t>(</w:t>
      </w:r>
      <w:proofErr w:type="spellStart"/>
      <w:proofErr w:type="gramStart"/>
      <w:r w:rsidRPr="007148BC">
        <w:rPr>
          <w:rStyle w:val="times1"/>
          <w:rFonts w:ascii="Times" w:hAnsi="Times"/>
          <w:sz w:val="22"/>
          <w:szCs w:val="22"/>
        </w:rPr>
        <w:t>oup</w:t>
      </w:r>
      <w:proofErr w:type="spellEnd"/>
      <w:proofErr w:type="gramEnd"/>
      <w:r w:rsidRPr="007148BC">
        <w:rPr>
          <w:rStyle w:val="times1"/>
          <w:rFonts w:ascii="Times" w:hAnsi="Times"/>
          <w:sz w:val="22"/>
          <w:szCs w:val="22"/>
        </w:rPr>
        <w:t xml:space="preserve"> Oxford.</w:t>
      </w:r>
      <w:r w:rsidR="004E2DF6">
        <w:rPr>
          <w:rStyle w:val="times1"/>
          <w:rFonts w:ascii="Times" w:hAnsi="Times"/>
          <w:sz w:val="22"/>
          <w:szCs w:val="22"/>
        </w:rPr>
        <w:t>)</w:t>
      </w:r>
    </w:p>
    <w:p w14:paraId="3DDD1451" w14:textId="1706B463" w:rsidR="007148BC" w:rsidRDefault="007148BC" w:rsidP="00BD131E">
      <w:pPr>
        <w:pStyle w:val="REFFERENCES2"/>
        <w:rPr>
          <w:rStyle w:val="times1"/>
          <w:rFonts w:ascii="Times" w:hAnsi="Times"/>
          <w:sz w:val="22"/>
          <w:szCs w:val="22"/>
        </w:rPr>
      </w:pPr>
      <w:r w:rsidRPr="007148BC">
        <w:rPr>
          <w:rStyle w:val="times1"/>
          <w:rFonts w:ascii="Times" w:hAnsi="Times"/>
          <w:sz w:val="22"/>
          <w:szCs w:val="22"/>
        </w:rPr>
        <w:t>El Zein, F., Solis, M., Vaughn, S., &amp; McCulley, L.</w:t>
      </w:r>
      <w:r w:rsidR="004E2DF6">
        <w:rPr>
          <w:rStyle w:val="times1"/>
          <w:rFonts w:ascii="Times" w:hAnsi="Times"/>
          <w:sz w:val="22"/>
          <w:szCs w:val="22"/>
        </w:rPr>
        <w:t xml:space="preserve"> </w:t>
      </w:r>
      <w:r w:rsidRPr="007148BC">
        <w:rPr>
          <w:rStyle w:val="times1"/>
          <w:rFonts w:ascii="Times" w:hAnsi="Times"/>
          <w:sz w:val="22"/>
          <w:szCs w:val="22"/>
        </w:rPr>
        <w:t xml:space="preserve">2014 </w:t>
      </w:r>
      <w:r w:rsidRPr="004E2DF6">
        <w:rPr>
          <w:rStyle w:val="times1"/>
          <w:rFonts w:ascii="Times" w:hAnsi="Times"/>
          <w:i/>
          <w:iCs/>
          <w:sz w:val="22"/>
          <w:szCs w:val="22"/>
        </w:rPr>
        <w:t>Reading comprehension interventions for students with autism spectrum disorders: A synthesis of research.</w:t>
      </w:r>
      <w:r w:rsidRPr="007148BC">
        <w:rPr>
          <w:rStyle w:val="times1"/>
          <w:rFonts w:ascii="Times" w:hAnsi="Times"/>
          <w:sz w:val="22"/>
          <w:szCs w:val="22"/>
        </w:rPr>
        <w:t xml:space="preserve"> </w:t>
      </w:r>
      <w:r w:rsidR="004E2DF6">
        <w:rPr>
          <w:rStyle w:val="times1"/>
          <w:rFonts w:ascii="Times" w:hAnsi="Times"/>
          <w:sz w:val="22"/>
          <w:szCs w:val="22"/>
        </w:rPr>
        <w:t>(</w:t>
      </w:r>
      <w:r w:rsidRPr="007148BC">
        <w:rPr>
          <w:rStyle w:val="times1"/>
          <w:rFonts w:ascii="Times" w:hAnsi="Times"/>
          <w:sz w:val="22"/>
          <w:szCs w:val="22"/>
        </w:rPr>
        <w:t>Journal of Autism and Developmental Disorders, 44</w:t>
      </w:r>
      <w:r w:rsidR="004E2DF6">
        <w:rPr>
          <w:rStyle w:val="times1"/>
          <w:rFonts w:ascii="Times" w:hAnsi="Times"/>
          <w:sz w:val="22"/>
          <w:szCs w:val="22"/>
        </w:rPr>
        <w:t>) p</w:t>
      </w:r>
      <w:r w:rsidRPr="007148BC">
        <w:rPr>
          <w:rStyle w:val="times1"/>
          <w:rFonts w:ascii="Times" w:hAnsi="Times"/>
          <w:sz w:val="22"/>
          <w:szCs w:val="22"/>
        </w:rPr>
        <w:t xml:space="preserve"> 1303-1322.</w:t>
      </w:r>
    </w:p>
    <w:p w14:paraId="4062B81A" w14:textId="5603F0F0" w:rsidR="007148BC" w:rsidRPr="00BD131E" w:rsidRDefault="000F2ED3" w:rsidP="00BD131E">
      <w:pPr>
        <w:pStyle w:val="REFFERENCES2"/>
        <w:rPr>
          <w:rStyle w:val="times1"/>
          <w:rFonts w:ascii="Times" w:hAnsi="Times"/>
          <w:sz w:val="22"/>
          <w:szCs w:val="22"/>
        </w:rPr>
      </w:pPr>
      <w:r w:rsidRPr="000F2ED3">
        <w:rPr>
          <w:rStyle w:val="times1"/>
          <w:rFonts w:ascii="Times" w:hAnsi="Times"/>
          <w:sz w:val="22"/>
          <w:szCs w:val="22"/>
        </w:rPr>
        <w:t xml:space="preserve">Whiteside, J., Bennett, J. and </w:t>
      </w:r>
      <w:proofErr w:type="spellStart"/>
      <w:r w:rsidRPr="000F2ED3">
        <w:rPr>
          <w:rStyle w:val="times1"/>
          <w:rFonts w:ascii="Times" w:hAnsi="Times"/>
          <w:sz w:val="22"/>
          <w:szCs w:val="22"/>
        </w:rPr>
        <w:t>Holtzblatt</w:t>
      </w:r>
      <w:proofErr w:type="spellEnd"/>
      <w:r w:rsidRPr="000F2ED3">
        <w:rPr>
          <w:rStyle w:val="times1"/>
          <w:rFonts w:ascii="Times" w:hAnsi="Times"/>
          <w:sz w:val="22"/>
          <w:szCs w:val="22"/>
        </w:rPr>
        <w:t xml:space="preserve">, K. 1988. </w:t>
      </w:r>
      <w:r w:rsidRPr="004E2DF6">
        <w:rPr>
          <w:rStyle w:val="times1"/>
          <w:rFonts w:ascii="Times" w:hAnsi="Times"/>
          <w:i/>
          <w:iCs/>
          <w:sz w:val="22"/>
          <w:szCs w:val="22"/>
        </w:rPr>
        <w:t>Usability engineering: Our experience and evolution.</w:t>
      </w:r>
      <w:r w:rsidRPr="000F2ED3">
        <w:rPr>
          <w:rStyle w:val="times1"/>
          <w:rFonts w:ascii="Times" w:hAnsi="Times"/>
          <w:sz w:val="22"/>
          <w:szCs w:val="22"/>
        </w:rPr>
        <w:t xml:space="preserve"> </w:t>
      </w:r>
      <w:r w:rsidR="004E2DF6">
        <w:rPr>
          <w:rStyle w:val="times1"/>
          <w:rFonts w:ascii="Times" w:hAnsi="Times"/>
          <w:sz w:val="22"/>
          <w:szCs w:val="22"/>
        </w:rPr>
        <w:t>(</w:t>
      </w:r>
      <w:r w:rsidRPr="000F2ED3">
        <w:rPr>
          <w:rStyle w:val="times1"/>
          <w:rFonts w:ascii="Times" w:hAnsi="Times"/>
          <w:sz w:val="22"/>
          <w:szCs w:val="22"/>
        </w:rPr>
        <w:t>In Handbook of human-computer interaction</w:t>
      </w:r>
      <w:r w:rsidR="004E2DF6">
        <w:rPr>
          <w:rStyle w:val="times1"/>
          <w:rFonts w:ascii="Times" w:hAnsi="Times"/>
          <w:sz w:val="22"/>
          <w:szCs w:val="22"/>
        </w:rPr>
        <w:t xml:space="preserve">) </w:t>
      </w:r>
      <w:r w:rsidRPr="000F2ED3">
        <w:rPr>
          <w:rStyle w:val="times1"/>
          <w:rFonts w:ascii="Times" w:hAnsi="Times"/>
          <w:sz w:val="22"/>
          <w:szCs w:val="22"/>
        </w:rPr>
        <w:t>p 791-817). North-Holland.</w:t>
      </w:r>
    </w:p>
    <w:p w14:paraId="5C801C94" w14:textId="77777777" w:rsidR="00EA3F4B" w:rsidRPr="005B2FA1" w:rsidRDefault="00EA3F4B">
      <w:pPr>
        <w:pStyle w:val="BodyChar"/>
        <w:rPr>
          <w:rFonts w:cs="Times"/>
        </w:rPr>
      </w:pPr>
    </w:p>
    <w:p w14:paraId="39D53F38" w14:textId="77777777" w:rsidR="00EA3F4B" w:rsidRPr="005B2FA1" w:rsidRDefault="00EA3F4B">
      <w:pPr>
        <w:pStyle w:val="BodyChar"/>
        <w:rPr>
          <w:rFonts w:cs="Times"/>
          <w:b/>
        </w:rPr>
      </w:pPr>
      <w:r w:rsidRPr="005B2FA1">
        <w:rPr>
          <w:rFonts w:cs="Times"/>
          <w:b/>
        </w:rPr>
        <w:t>Acknowledgments</w:t>
      </w:r>
    </w:p>
    <w:p w14:paraId="44E71EEF" w14:textId="55400897" w:rsidR="00EA3F4B" w:rsidRPr="005B2FA1" w:rsidRDefault="007D4905" w:rsidP="007D4905">
      <w:pPr>
        <w:pStyle w:val="BodyChar"/>
        <w:rPr>
          <w:rFonts w:cs="Times"/>
        </w:rPr>
      </w:pPr>
      <w:r w:rsidRPr="007D4905">
        <w:rPr>
          <w:rFonts w:cs="Times"/>
        </w:rPr>
        <w:t xml:space="preserve">Funding for this research work is kindly supported by Malaysia Fundamental Research Grant Scheme (FRGS) under FRGS/1/2020/TK0/UNIMAP/03/23. We also thank PPDK </w:t>
      </w:r>
      <w:proofErr w:type="spellStart"/>
      <w:r w:rsidRPr="007D4905">
        <w:rPr>
          <w:rFonts w:cs="Times"/>
        </w:rPr>
        <w:t>AniPs</w:t>
      </w:r>
      <w:proofErr w:type="spellEnd"/>
      <w:r w:rsidRPr="007D4905">
        <w:rPr>
          <w:rFonts w:cs="Times"/>
        </w:rPr>
        <w:t>, Perlis and The National Autism Society of Malaysia (NASOM), in their contribution and ASDC existence for this project.</w:t>
      </w:r>
    </w:p>
    <w:sectPr w:rsidR="00EA3F4B" w:rsidRPr="005B2FA1" w:rsidSect="009011A6">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8DE" w14:textId="77777777" w:rsidR="000364E2" w:rsidRDefault="000364E2">
      <w:r>
        <w:separator/>
      </w:r>
    </w:p>
  </w:endnote>
  <w:endnote w:type="continuationSeparator" w:id="0">
    <w:p w14:paraId="087A67AB" w14:textId="77777777" w:rsidR="000364E2" w:rsidRDefault="0003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73ED1" w14:textId="77777777" w:rsidR="000364E2" w:rsidRPr="00043761" w:rsidRDefault="000364E2">
      <w:pPr>
        <w:pStyle w:val="Bulleted"/>
        <w:numPr>
          <w:ilvl w:val="0"/>
          <w:numId w:val="0"/>
        </w:numPr>
        <w:rPr>
          <w:rFonts w:ascii="Sabon" w:hAnsi="Sabon"/>
          <w:color w:val="auto"/>
          <w:szCs w:val="20"/>
        </w:rPr>
      </w:pPr>
      <w:r>
        <w:separator/>
      </w:r>
    </w:p>
  </w:footnote>
  <w:footnote w:type="continuationSeparator" w:id="0">
    <w:p w14:paraId="77D958B3" w14:textId="77777777" w:rsidR="000364E2" w:rsidRDefault="0003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D768" w14:textId="76D0B18B" w:rsidR="00707B0A" w:rsidRDefault="00707B0A">
    <w:pPr>
      <w:pStyle w:val="Header"/>
    </w:pPr>
  </w:p>
  <w:p w14:paraId="024582D4" w14:textId="77777777" w:rsidR="00707B0A" w:rsidRPr="00707B0A" w:rsidRDefault="00707B0A" w:rsidP="00707B0A">
    <w:pPr>
      <w:pStyle w:val="Header"/>
      <w:rPr>
        <w:rFonts w:cs="Times"/>
      </w:rPr>
    </w:pPr>
    <w:r w:rsidRPr="00707B0A">
      <w:rPr>
        <w:rFonts w:cs="Times"/>
      </w:rPr>
      <w:t>International Conference on Mechanical System Engineering and Technology Applications</w:t>
    </w:r>
  </w:p>
  <w:p w14:paraId="2EF87866" w14:textId="3FB8A12F" w:rsidR="00707B0A" w:rsidRPr="00707B0A" w:rsidRDefault="00707B0A" w:rsidP="00707B0A">
    <w:pPr>
      <w:pStyle w:val="Header"/>
      <w:rPr>
        <w:rFonts w:cs="Times"/>
      </w:rPr>
    </w:pPr>
    <w:r w:rsidRPr="00707B0A">
      <w:rPr>
        <w:rFonts w:cs="Times"/>
      </w:rPr>
      <w:t>(</w:t>
    </w:r>
    <w:proofErr w:type="spellStart"/>
    <w:r w:rsidRPr="00707B0A">
      <w:rPr>
        <w:rFonts w:cs="Times"/>
      </w:rPr>
      <w:t>ICoMSETA</w:t>
    </w:r>
    <w:proofErr w:type="spellEnd"/>
    <w:r w:rsidRPr="00707B0A">
      <w:rPr>
        <w:rFonts w:cs="Times"/>
      </w:rPr>
      <w:t>) 2024, pp. X – XX</w:t>
    </w:r>
  </w:p>
  <w:p w14:paraId="4D81F760"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2347B"/>
    <w:multiLevelType w:val="hybridMultilevel"/>
    <w:tmpl w:val="1D7A2448"/>
    <w:lvl w:ilvl="0" w:tplc="457ACD16">
      <w:start w:val="1"/>
      <w:numFmt w:val="decimal"/>
      <w:pStyle w:val="Chap2Heading2"/>
      <w:lvlText w:val="2.%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F1F307C"/>
    <w:multiLevelType w:val="hybridMultilevel"/>
    <w:tmpl w:val="D9CE5CCC"/>
    <w:lvl w:ilvl="0" w:tplc="654ECB42">
      <w:start w:val="1"/>
      <w:numFmt w:val="decimal"/>
      <w:pStyle w:val="REFFERENCES2"/>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F82287"/>
    <w:multiLevelType w:val="hybridMultilevel"/>
    <w:tmpl w:val="093A3FB0"/>
    <w:lvl w:ilvl="0" w:tplc="9E1C073E">
      <w:start w:val="1"/>
      <w:numFmt w:val="decimal"/>
      <w:lvlText w:val="2.%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6D135EC"/>
    <w:multiLevelType w:val="hybridMultilevel"/>
    <w:tmpl w:val="CFF0B22C"/>
    <w:lvl w:ilvl="0" w:tplc="ACF4AFB8">
      <w:start w:val="1"/>
      <w:numFmt w:val="decimal"/>
      <w:pStyle w:val="References"/>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3FF09B4"/>
    <w:multiLevelType w:val="multilevel"/>
    <w:tmpl w:val="19AC2310"/>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52751B7"/>
    <w:multiLevelType w:val="hybridMultilevel"/>
    <w:tmpl w:val="937ED656"/>
    <w:lvl w:ilvl="0" w:tplc="2496F334">
      <w:start w:val="1"/>
      <w:numFmt w:val="decimal"/>
      <w:pStyle w:val="Cap3Heading2"/>
      <w:lvlText w:val="3.%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CA672D9"/>
    <w:multiLevelType w:val="hybridMultilevel"/>
    <w:tmpl w:val="60CCDE54"/>
    <w:lvl w:ilvl="0" w:tplc="EE2A76A0">
      <w:start w:val="1"/>
      <w:numFmt w:val="decimal"/>
      <w:pStyle w:val="Subtitle1"/>
      <w:lvlText w:val="%1."/>
      <w:lvlJc w:val="left"/>
      <w:pPr>
        <w:ind w:left="360" w:hanging="360"/>
      </w:pPr>
    </w:lvl>
    <w:lvl w:ilvl="1" w:tplc="44090019" w:tentative="1">
      <w:start w:val="1"/>
      <w:numFmt w:val="lowerLetter"/>
      <w:lvlText w:val="%2."/>
      <w:lvlJc w:val="left"/>
      <w:pPr>
        <w:ind w:left="1790" w:hanging="360"/>
      </w:pPr>
    </w:lvl>
    <w:lvl w:ilvl="2" w:tplc="4409001B" w:tentative="1">
      <w:start w:val="1"/>
      <w:numFmt w:val="lowerRoman"/>
      <w:lvlText w:val="%3."/>
      <w:lvlJc w:val="right"/>
      <w:pPr>
        <w:ind w:left="2510" w:hanging="180"/>
      </w:pPr>
    </w:lvl>
    <w:lvl w:ilvl="3" w:tplc="4409000F" w:tentative="1">
      <w:start w:val="1"/>
      <w:numFmt w:val="decimal"/>
      <w:lvlText w:val="%4."/>
      <w:lvlJc w:val="left"/>
      <w:pPr>
        <w:ind w:left="3230" w:hanging="360"/>
      </w:pPr>
    </w:lvl>
    <w:lvl w:ilvl="4" w:tplc="44090019" w:tentative="1">
      <w:start w:val="1"/>
      <w:numFmt w:val="lowerLetter"/>
      <w:lvlText w:val="%5."/>
      <w:lvlJc w:val="left"/>
      <w:pPr>
        <w:ind w:left="3950" w:hanging="360"/>
      </w:pPr>
    </w:lvl>
    <w:lvl w:ilvl="5" w:tplc="4409001B" w:tentative="1">
      <w:start w:val="1"/>
      <w:numFmt w:val="lowerRoman"/>
      <w:lvlText w:val="%6."/>
      <w:lvlJc w:val="right"/>
      <w:pPr>
        <w:ind w:left="4670" w:hanging="180"/>
      </w:pPr>
    </w:lvl>
    <w:lvl w:ilvl="6" w:tplc="4409000F" w:tentative="1">
      <w:start w:val="1"/>
      <w:numFmt w:val="decimal"/>
      <w:lvlText w:val="%7."/>
      <w:lvlJc w:val="left"/>
      <w:pPr>
        <w:ind w:left="5390" w:hanging="360"/>
      </w:pPr>
    </w:lvl>
    <w:lvl w:ilvl="7" w:tplc="44090019" w:tentative="1">
      <w:start w:val="1"/>
      <w:numFmt w:val="lowerLetter"/>
      <w:lvlText w:val="%8."/>
      <w:lvlJc w:val="left"/>
      <w:pPr>
        <w:ind w:left="6110" w:hanging="360"/>
      </w:pPr>
    </w:lvl>
    <w:lvl w:ilvl="8" w:tplc="4409001B" w:tentative="1">
      <w:start w:val="1"/>
      <w:numFmt w:val="lowerRoman"/>
      <w:lvlText w:val="%9."/>
      <w:lvlJc w:val="right"/>
      <w:pPr>
        <w:ind w:left="6830" w:hanging="180"/>
      </w:pPr>
    </w:lvl>
  </w:abstractNum>
  <w:abstractNum w:abstractNumId="23" w15:restartNumberingAfterBreak="0">
    <w:nsid w:val="791A205E"/>
    <w:multiLevelType w:val="hybridMultilevel"/>
    <w:tmpl w:val="FAC05066"/>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15:restartNumberingAfterBreak="0">
    <w:nsid w:val="7AD62F05"/>
    <w:multiLevelType w:val="hybridMultilevel"/>
    <w:tmpl w:val="DCE281E0"/>
    <w:lvl w:ilvl="0" w:tplc="CEEA7096">
      <w:start w:val="1"/>
      <w:numFmt w:val="decimal"/>
      <w:lvlText w:val="2.%1."/>
      <w:lvlJc w:val="right"/>
      <w:pPr>
        <w:ind w:left="1077" w:hanging="360"/>
      </w:pPr>
      <w:rPr>
        <w:rFonts w:hint="default"/>
      </w:rPr>
    </w:lvl>
    <w:lvl w:ilvl="1" w:tplc="44090019" w:tentative="1">
      <w:start w:val="1"/>
      <w:numFmt w:val="lowerLetter"/>
      <w:lvlText w:val="%2."/>
      <w:lvlJc w:val="left"/>
      <w:pPr>
        <w:ind w:left="1797" w:hanging="360"/>
      </w:pPr>
    </w:lvl>
    <w:lvl w:ilvl="2" w:tplc="4409001B" w:tentative="1">
      <w:start w:val="1"/>
      <w:numFmt w:val="lowerRoman"/>
      <w:lvlText w:val="%3."/>
      <w:lvlJc w:val="right"/>
      <w:pPr>
        <w:ind w:left="2517" w:hanging="180"/>
      </w:pPr>
    </w:lvl>
    <w:lvl w:ilvl="3" w:tplc="4409000F" w:tentative="1">
      <w:start w:val="1"/>
      <w:numFmt w:val="decimal"/>
      <w:lvlText w:val="%4."/>
      <w:lvlJc w:val="left"/>
      <w:pPr>
        <w:ind w:left="3237" w:hanging="360"/>
      </w:pPr>
    </w:lvl>
    <w:lvl w:ilvl="4" w:tplc="44090019" w:tentative="1">
      <w:start w:val="1"/>
      <w:numFmt w:val="lowerLetter"/>
      <w:lvlText w:val="%5."/>
      <w:lvlJc w:val="left"/>
      <w:pPr>
        <w:ind w:left="3957" w:hanging="360"/>
      </w:pPr>
    </w:lvl>
    <w:lvl w:ilvl="5" w:tplc="4409001B" w:tentative="1">
      <w:start w:val="1"/>
      <w:numFmt w:val="lowerRoman"/>
      <w:lvlText w:val="%6."/>
      <w:lvlJc w:val="right"/>
      <w:pPr>
        <w:ind w:left="4677" w:hanging="180"/>
      </w:pPr>
    </w:lvl>
    <w:lvl w:ilvl="6" w:tplc="4409000F" w:tentative="1">
      <w:start w:val="1"/>
      <w:numFmt w:val="decimal"/>
      <w:lvlText w:val="%7."/>
      <w:lvlJc w:val="left"/>
      <w:pPr>
        <w:ind w:left="5397" w:hanging="360"/>
      </w:pPr>
    </w:lvl>
    <w:lvl w:ilvl="7" w:tplc="44090019" w:tentative="1">
      <w:start w:val="1"/>
      <w:numFmt w:val="lowerLetter"/>
      <w:lvlText w:val="%8."/>
      <w:lvlJc w:val="left"/>
      <w:pPr>
        <w:ind w:left="6117" w:hanging="360"/>
      </w:pPr>
    </w:lvl>
    <w:lvl w:ilvl="8" w:tplc="4409001B" w:tentative="1">
      <w:start w:val="1"/>
      <w:numFmt w:val="lowerRoman"/>
      <w:lvlText w:val="%9."/>
      <w:lvlJc w:val="right"/>
      <w:pPr>
        <w:ind w:left="6837" w:hanging="180"/>
      </w:pPr>
    </w:lvl>
  </w:abstractNum>
  <w:abstractNum w:abstractNumId="25"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81030277">
    <w:abstractNumId w:val="9"/>
  </w:num>
  <w:num w:numId="2" w16cid:durableId="2100323446">
    <w:abstractNumId w:val="7"/>
  </w:num>
  <w:num w:numId="3" w16cid:durableId="1899051258">
    <w:abstractNumId w:val="6"/>
  </w:num>
  <w:num w:numId="4" w16cid:durableId="2068793924">
    <w:abstractNumId w:val="5"/>
  </w:num>
  <w:num w:numId="5" w16cid:durableId="549808693">
    <w:abstractNumId w:val="4"/>
  </w:num>
  <w:num w:numId="6" w16cid:durableId="1728727300">
    <w:abstractNumId w:val="8"/>
  </w:num>
  <w:num w:numId="7" w16cid:durableId="82997239">
    <w:abstractNumId w:val="3"/>
  </w:num>
  <w:num w:numId="8" w16cid:durableId="2011906486">
    <w:abstractNumId w:val="2"/>
  </w:num>
  <w:num w:numId="9" w16cid:durableId="50462763">
    <w:abstractNumId w:val="1"/>
  </w:num>
  <w:num w:numId="10" w16cid:durableId="1461338304">
    <w:abstractNumId w:val="0"/>
  </w:num>
  <w:num w:numId="11" w16cid:durableId="2014602759">
    <w:abstractNumId w:val="16"/>
  </w:num>
  <w:num w:numId="12" w16cid:durableId="1788767159">
    <w:abstractNumId w:val="19"/>
  </w:num>
  <w:num w:numId="13" w16cid:durableId="767624922">
    <w:abstractNumId w:val="15"/>
  </w:num>
  <w:num w:numId="14" w16cid:durableId="259686147">
    <w:abstractNumId w:val="10"/>
  </w:num>
  <w:num w:numId="15" w16cid:durableId="2084715902">
    <w:abstractNumId w:val="25"/>
  </w:num>
  <w:num w:numId="16" w16cid:durableId="218827699">
    <w:abstractNumId w:val="12"/>
  </w:num>
  <w:num w:numId="17" w16cid:durableId="1203252192">
    <w:abstractNumId w:val="11"/>
  </w:num>
  <w:num w:numId="18" w16cid:durableId="1219241027">
    <w:abstractNumId w:val="20"/>
  </w:num>
  <w:num w:numId="19" w16cid:durableId="2014069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38103">
    <w:abstractNumId w:val="23"/>
  </w:num>
  <w:num w:numId="21" w16cid:durableId="147285458">
    <w:abstractNumId w:val="22"/>
  </w:num>
  <w:num w:numId="22" w16cid:durableId="1574390079">
    <w:abstractNumId w:val="18"/>
  </w:num>
  <w:num w:numId="23" w16cid:durableId="1432627389">
    <w:abstractNumId w:val="14"/>
  </w:num>
  <w:num w:numId="24" w16cid:durableId="1168785567">
    <w:abstractNumId w:val="21"/>
  </w:num>
  <w:num w:numId="25" w16cid:durableId="2075079180">
    <w:abstractNumId w:val="17"/>
  </w:num>
  <w:num w:numId="26" w16cid:durableId="276327577">
    <w:abstractNumId w:val="24"/>
  </w:num>
  <w:num w:numId="27" w16cid:durableId="7015152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MY" w:vendorID="64" w:dllVersion="0" w:nlCheck="1" w:checkStyle="0"/>
  <w:activeWritingStyle w:appName="MSWord" w:lang="en-MY"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22A4D"/>
    <w:rsid w:val="000364E2"/>
    <w:rsid w:val="00047C3A"/>
    <w:rsid w:val="00053710"/>
    <w:rsid w:val="0005561A"/>
    <w:rsid w:val="000A1346"/>
    <w:rsid w:val="000B5201"/>
    <w:rsid w:val="000B5981"/>
    <w:rsid w:val="000F2ED3"/>
    <w:rsid w:val="00110F27"/>
    <w:rsid w:val="00137524"/>
    <w:rsid w:val="001377DA"/>
    <w:rsid w:val="001513A9"/>
    <w:rsid w:val="00163788"/>
    <w:rsid w:val="00165E82"/>
    <w:rsid w:val="0017062B"/>
    <w:rsid w:val="0017279B"/>
    <w:rsid w:val="001818E4"/>
    <w:rsid w:val="001B2239"/>
    <w:rsid w:val="00217B9B"/>
    <w:rsid w:val="00231CCE"/>
    <w:rsid w:val="00251C5B"/>
    <w:rsid w:val="0027319A"/>
    <w:rsid w:val="00280154"/>
    <w:rsid w:val="002A48DB"/>
    <w:rsid w:val="002E2D6E"/>
    <w:rsid w:val="00314B40"/>
    <w:rsid w:val="00330F29"/>
    <w:rsid w:val="003608F8"/>
    <w:rsid w:val="003632F0"/>
    <w:rsid w:val="00416698"/>
    <w:rsid w:val="00465D11"/>
    <w:rsid w:val="00480A2E"/>
    <w:rsid w:val="004C4D7B"/>
    <w:rsid w:val="004E2DF6"/>
    <w:rsid w:val="0051555C"/>
    <w:rsid w:val="005155D1"/>
    <w:rsid w:val="00521A70"/>
    <w:rsid w:val="005627D9"/>
    <w:rsid w:val="005B2FA1"/>
    <w:rsid w:val="005C24F9"/>
    <w:rsid w:val="005C2F2E"/>
    <w:rsid w:val="005F03B4"/>
    <w:rsid w:val="00656232"/>
    <w:rsid w:val="006705A7"/>
    <w:rsid w:val="00672A84"/>
    <w:rsid w:val="006A5EBB"/>
    <w:rsid w:val="006B5DE9"/>
    <w:rsid w:val="006B7D08"/>
    <w:rsid w:val="006E490A"/>
    <w:rsid w:val="00702D7B"/>
    <w:rsid w:val="00707B0A"/>
    <w:rsid w:val="007148BC"/>
    <w:rsid w:val="00721922"/>
    <w:rsid w:val="00724807"/>
    <w:rsid w:val="0079717D"/>
    <w:rsid w:val="00797C98"/>
    <w:rsid w:val="007A5ED1"/>
    <w:rsid w:val="007D4905"/>
    <w:rsid w:val="007F0067"/>
    <w:rsid w:val="008A18CB"/>
    <w:rsid w:val="008C18E6"/>
    <w:rsid w:val="008E0FDC"/>
    <w:rsid w:val="008E20F8"/>
    <w:rsid w:val="008E5898"/>
    <w:rsid w:val="008E69E5"/>
    <w:rsid w:val="008F5C4C"/>
    <w:rsid w:val="009011A6"/>
    <w:rsid w:val="0091352C"/>
    <w:rsid w:val="00927262"/>
    <w:rsid w:val="00935719"/>
    <w:rsid w:val="009406AF"/>
    <w:rsid w:val="009544F0"/>
    <w:rsid w:val="009838EA"/>
    <w:rsid w:val="009A169E"/>
    <w:rsid w:val="009A4572"/>
    <w:rsid w:val="009E0BFC"/>
    <w:rsid w:val="00A02FAE"/>
    <w:rsid w:val="00A1540B"/>
    <w:rsid w:val="00A15D3E"/>
    <w:rsid w:val="00A20242"/>
    <w:rsid w:val="00A22E11"/>
    <w:rsid w:val="00A2693F"/>
    <w:rsid w:val="00A26F5F"/>
    <w:rsid w:val="00A71973"/>
    <w:rsid w:val="00A978D0"/>
    <w:rsid w:val="00AB4465"/>
    <w:rsid w:val="00AE4814"/>
    <w:rsid w:val="00AF3CAD"/>
    <w:rsid w:val="00B10AC2"/>
    <w:rsid w:val="00B47D5B"/>
    <w:rsid w:val="00B5108A"/>
    <w:rsid w:val="00B56460"/>
    <w:rsid w:val="00BC1D18"/>
    <w:rsid w:val="00BD131E"/>
    <w:rsid w:val="00BE4962"/>
    <w:rsid w:val="00BF05B0"/>
    <w:rsid w:val="00C4614F"/>
    <w:rsid w:val="00C53E04"/>
    <w:rsid w:val="00CD4E1C"/>
    <w:rsid w:val="00CD5491"/>
    <w:rsid w:val="00CE57CF"/>
    <w:rsid w:val="00D11625"/>
    <w:rsid w:val="00D21DD8"/>
    <w:rsid w:val="00D30CE7"/>
    <w:rsid w:val="00D467F7"/>
    <w:rsid w:val="00D8570C"/>
    <w:rsid w:val="00DA13ED"/>
    <w:rsid w:val="00DC673C"/>
    <w:rsid w:val="00E01073"/>
    <w:rsid w:val="00E0470B"/>
    <w:rsid w:val="00E46CC9"/>
    <w:rsid w:val="00E529EC"/>
    <w:rsid w:val="00EA0C3B"/>
    <w:rsid w:val="00EA3F4B"/>
    <w:rsid w:val="00EA76C0"/>
    <w:rsid w:val="00F22000"/>
    <w:rsid w:val="00F62952"/>
    <w:rsid w:val="00F656C2"/>
    <w:rsid w:val="00F93A39"/>
    <w:rsid w:val="00FB7DA1"/>
    <w:rsid w:val="00FD361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1652"/>
  <w15:docId w15:val="{E3B7D81F-03B9-4475-8711-818BC9D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3B"/>
    <w:pPr>
      <w:jc w:val="both"/>
    </w:pPr>
    <w:rPr>
      <w:rFonts w:ascii="Times" w:hAnsi="Times"/>
      <w:sz w:val="22"/>
      <w:lang w:eastAsia="en-US"/>
    </w:rPr>
  </w:style>
  <w:style w:type="paragraph" w:styleId="Heading1">
    <w:name w:val="heading 1"/>
    <w:basedOn w:val="Normal"/>
    <w:next w:val="Normal"/>
    <w:qFormat/>
    <w:pPr>
      <w:keepNext/>
      <w:widowControl w:val="0"/>
      <w:numPr>
        <w:numId w:val="13"/>
      </w:numPr>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pPr>
    <w:rPr>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2A48DB"/>
    <w:pPr>
      <w:keepNext/>
      <w:keepLines/>
      <w:tabs>
        <w:tab w:val="left" w:pos="567"/>
        <w:tab w:val="left" w:pos="1560"/>
      </w:tabs>
      <w:overflowPunct w:val="0"/>
      <w:autoSpaceDE w:val="0"/>
      <w:autoSpaceDN w:val="0"/>
      <w:adjustRightInd w:val="0"/>
      <w:textAlignment w:val="baseline"/>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2A48DB"/>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link w:val="ReferenceChar"/>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eaderChar">
    <w:name w:val="Header Char"/>
    <w:basedOn w:val="DefaultParagraphFont"/>
    <w:link w:val="Header"/>
    <w:uiPriority w:val="99"/>
    <w:rsid w:val="00707B0A"/>
    <w:rPr>
      <w:rFonts w:ascii="Sabon" w:hAnsi="Sabon"/>
      <w:sz w:val="22"/>
      <w:lang w:eastAsia="en-US"/>
    </w:rPr>
  </w:style>
  <w:style w:type="paragraph" w:styleId="Caption">
    <w:name w:val="caption"/>
    <w:basedOn w:val="Normal"/>
    <w:next w:val="Normal"/>
    <w:uiPriority w:val="35"/>
    <w:unhideWhenUsed/>
    <w:qFormat/>
    <w:rsid w:val="00FB7DA1"/>
    <w:pPr>
      <w:spacing w:after="200"/>
    </w:pPr>
    <w:rPr>
      <w:i/>
      <w:iCs/>
      <w:color w:val="1F497D" w:themeColor="text2"/>
      <w:sz w:val="18"/>
      <w:szCs w:val="18"/>
    </w:rPr>
  </w:style>
  <w:style w:type="paragraph" w:styleId="ListParagraph">
    <w:name w:val="List Paragraph"/>
    <w:basedOn w:val="Normal"/>
    <w:link w:val="ListParagraphChar"/>
    <w:uiPriority w:val="34"/>
    <w:qFormat/>
    <w:rsid w:val="00465D11"/>
    <w:pPr>
      <w:ind w:left="720"/>
      <w:contextualSpacing/>
    </w:pPr>
  </w:style>
  <w:style w:type="paragraph" w:customStyle="1" w:styleId="Subtitle1">
    <w:name w:val="Subtitle 1"/>
    <w:basedOn w:val="ListParagraph"/>
    <w:link w:val="Subtitle1Char"/>
    <w:autoRedefine/>
    <w:qFormat/>
    <w:rsid w:val="00465D11"/>
    <w:pPr>
      <w:numPr>
        <w:numId w:val="21"/>
      </w:numPr>
      <w:tabs>
        <w:tab w:val="left" w:pos="142"/>
        <w:tab w:val="left" w:pos="284"/>
        <w:tab w:val="left" w:pos="567"/>
      </w:tabs>
      <w:ind w:left="0" w:firstLine="0"/>
      <w:contextualSpacing w:val="0"/>
    </w:pPr>
    <w:rPr>
      <w:rFonts w:cs="Times"/>
      <w:b/>
      <w:color w:val="000000"/>
      <w:szCs w:val="22"/>
    </w:rPr>
  </w:style>
  <w:style w:type="character" w:customStyle="1" w:styleId="ListParagraphChar">
    <w:name w:val="List Paragraph Char"/>
    <w:basedOn w:val="DefaultParagraphFont"/>
    <w:link w:val="ListParagraph"/>
    <w:uiPriority w:val="34"/>
    <w:rsid w:val="00465D11"/>
    <w:rPr>
      <w:rFonts w:ascii="Sabon" w:hAnsi="Sabon"/>
      <w:sz w:val="22"/>
      <w:lang w:eastAsia="en-US"/>
    </w:rPr>
  </w:style>
  <w:style w:type="character" w:customStyle="1" w:styleId="Subtitle1Char">
    <w:name w:val="Subtitle 1 Char"/>
    <w:basedOn w:val="ListParagraphChar"/>
    <w:link w:val="Subtitle1"/>
    <w:rsid w:val="00465D11"/>
    <w:rPr>
      <w:rFonts w:ascii="Times" w:hAnsi="Times" w:cs="Times"/>
      <w:b/>
      <w:color w:val="000000"/>
      <w:sz w:val="22"/>
      <w:szCs w:val="22"/>
      <w:lang w:eastAsia="en-US"/>
    </w:rPr>
  </w:style>
  <w:style w:type="paragraph" w:customStyle="1" w:styleId="References">
    <w:name w:val="References"/>
    <w:basedOn w:val="Reference"/>
    <w:link w:val="ReferencesChar"/>
    <w:autoRedefine/>
    <w:rsid w:val="008C18E6"/>
    <w:pPr>
      <w:numPr>
        <w:numId w:val="22"/>
      </w:numPr>
      <w:ind w:left="567" w:hanging="567"/>
    </w:pPr>
    <w:rPr>
      <w:rFonts w:cs="Times"/>
      <w:lang w:val="en-US"/>
    </w:rPr>
  </w:style>
  <w:style w:type="character" w:customStyle="1" w:styleId="ReferenceChar">
    <w:name w:val="Reference Char"/>
    <w:basedOn w:val="DefaultParagraphFont"/>
    <w:link w:val="Reference"/>
    <w:rsid w:val="008C18E6"/>
    <w:rPr>
      <w:rFonts w:ascii="Times" w:hAnsi="Times"/>
      <w:color w:val="000000"/>
      <w:sz w:val="22"/>
      <w:szCs w:val="22"/>
      <w:lang w:eastAsia="en-US"/>
    </w:rPr>
  </w:style>
  <w:style w:type="character" w:customStyle="1" w:styleId="ReferencesChar">
    <w:name w:val="References Char"/>
    <w:basedOn w:val="ReferenceChar"/>
    <w:link w:val="References"/>
    <w:rsid w:val="008C18E6"/>
    <w:rPr>
      <w:rFonts w:ascii="Times" w:hAnsi="Times" w:cs="Times"/>
      <w:color w:val="000000"/>
      <w:sz w:val="22"/>
      <w:szCs w:val="22"/>
      <w:lang w:val="en-US" w:eastAsia="en-US"/>
    </w:rPr>
  </w:style>
  <w:style w:type="paragraph" w:customStyle="1" w:styleId="REFFERENCES2">
    <w:name w:val="REFFERENCES 2"/>
    <w:basedOn w:val="Reference"/>
    <w:link w:val="REFFERENCES2Char"/>
    <w:autoRedefine/>
    <w:qFormat/>
    <w:rsid w:val="00BD131E"/>
    <w:pPr>
      <w:numPr>
        <w:numId w:val="23"/>
      </w:numPr>
      <w:ind w:left="992" w:hanging="992"/>
    </w:pPr>
    <w:rPr>
      <w:lang w:val="en-US"/>
    </w:rPr>
  </w:style>
  <w:style w:type="character" w:customStyle="1" w:styleId="REFFERENCES2Char">
    <w:name w:val="REFFERENCES 2 Char"/>
    <w:basedOn w:val="ReferenceChar"/>
    <w:link w:val="REFFERENCES2"/>
    <w:rsid w:val="00BD131E"/>
    <w:rPr>
      <w:rFonts w:ascii="Times" w:hAnsi="Times"/>
      <w:color w:val="000000"/>
      <w:sz w:val="22"/>
      <w:szCs w:val="22"/>
      <w:lang w:val="en-US" w:eastAsia="en-US"/>
    </w:rPr>
  </w:style>
  <w:style w:type="paragraph" w:customStyle="1" w:styleId="REFERENCES2">
    <w:name w:val="REFERENCES 2"/>
    <w:basedOn w:val="Reference"/>
    <w:link w:val="REFERENCES2Char"/>
    <w:autoRedefine/>
    <w:rsid w:val="009E0BFC"/>
    <w:pPr>
      <w:tabs>
        <w:tab w:val="clear" w:pos="709"/>
        <w:tab w:val="left" w:pos="851"/>
      </w:tabs>
    </w:pPr>
    <w:rPr>
      <w:rFonts w:cs="Times"/>
    </w:rPr>
  </w:style>
  <w:style w:type="character" w:customStyle="1" w:styleId="REFERENCES2Char">
    <w:name w:val="REFERENCES 2 Char"/>
    <w:basedOn w:val="ReferenceChar"/>
    <w:link w:val="REFERENCES2"/>
    <w:rsid w:val="009E0BFC"/>
    <w:rPr>
      <w:rFonts w:ascii="Times" w:hAnsi="Times" w:cs="Times"/>
      <w:color w:val="000000"/>
      <w:sz w:val="22"/>
      <w:szCs w:val="22"/>
      <w:lang w:eastAsia="en-US"/>
    </w:rPr>
  </w:style>
  <w:style w:type="paragraph" w:customStyle="1" w:styleId="Cap3Heading2">
    <w:name w:val="Cap 3 Heading 2"/>
    <w:basedOn w:val="Subtitle1"/>
    <w:link w:val="Cap3Heading2Char"/>
    <w:autoRedefine/>
    <w:qFormat/>
    <w:rsid w:val="003632F0"/>
    <w:pPr>
      <w:numPr>
        <w:numId w:val="24"/>
      </w:numPr>
      <w:tabs>
        <w:tab w:val="clear" w:pos="142"/>
        <w:tab w:val="clear" w:pos="284"/>
        <w:tab w:val="clear" w:pos="567"/>
        <w:tab w:val="left" w:pos="425"/>
      </w:tabs>
      <w:spacing w:before="240"/>
      <w:ind w:left="357" w:hanging="357"/>
    </w:pPr>
    <w:rPr>
      <w:b w:val="0"/>
      <w:i/>
    </w:rPr>
  </w:style>
  <w:style w:type="character" w:customStyle="1" w:styleId="Cap3Heading2Char">
    <w:name w:val="Cap 3 Heading 2 Char"/>
    <w:basedOn w:val="Subtitle1Char"/>
    <w:link w:val="Cap3Heading2"/>
    <w:rsid w:val="003632F0"/>
    <w:rPr>
      <w:rFonts w:ascii="Times" w:hAnsi="Times" w:cs="Times"/>
      <w:b w:val="0"/>
      <w:i/>
      <w:color w:val="000000"/>
      <w:sz w:val="22"/>
      <w:szCs w:val="22"/>
      <w:lang w:eastAsia="en-US"/>
    </w:rPr>
  </w:style>
  <w:style w:type="paragraph" w:customStyle="1" w:styleId="Chap2Heading2">
    <w:name w:val="Chap 2 Heading 2"/>
    <w:basedOn w:val="subsection"/>
    <w:autoRedefine/>
    <w:qFormat/>
    <w:rsid w:val="0027319A"/>
    <w:pPr>
      <w:numPr>
        <w:ilvl w:val="0"/>
        <w:numId w:val="27"/>
      </w:numPr>
      <w:tabs>
        <w:tab w:val="clear" w:pos="567"/>
        <w:tab w:val="left" w:pos="142"/>
      </w:tabs>
      <w:ind w:left="426" w:hanging="142"/>
    </w:pPr>
    <w:rPr>
      <w:rFonts w:cs="Time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Othman, Norashiken</dc:creator>
  <cp:keywords>open access, proceedings, template, fast, affordable, flexible</cp:keywords>
  <cp:lastModifiedBy>norashiken othman</cp:lastModifiedBy>
  <cp:revision>39</cp:revision>
  <cp:lastPrinted>2024-08-22T08:19:00Z</cp:lastPrinted>
  <dcterms:created xsi:type="dcterms:W3CDTF">2024-08-11T14:14:00Z</dcterms:created>
  <dcterms:modified xsi:type="dcterms:W3CDTF">2024-08-22T08:27:00Z</dcterms:modified>
</cp:coreProperties>
</file>