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3955C" w14:textId="06A12905" w:rsidR="000638FD" w:rsidRPr="004A4655" w:rsidRDefault="00E22FAE">
      <w:pPr>
        <w:keepNext/>
        <w:keepLines/>
        <w:pBdr>
          <w:top w:val="nil"/>
          <w:left w:val="nil"/>
          <w:bottom w:val="nil"/>
          <w:right w:val="nil"/>
          <w:between w:val="nil"/>
        </w:pBdr>
        <w:spacing w:after="480"/>
        <w:jc w:val="center"/>
        <w:rPr>
          <w:b/>
          <w:color w:val="000000"/>
          <w:sz w:val="28"/>
          <w:szCs w:val="28"/>
        </w:rPr>
      </w:pPr>
      <w:r w:rsidRPr="004A4655">
        <w:rPr>
          <w:b/>
          <w:sz w:val="28"/>
          <w:szCs w:val="28"/>
        </w:rPr>
        <w:t xml:space="preserve">Effect of the Structure of Microporous Layer on the Performance of </w:t>
      </w:r>
      <w:r w:rsidR="00902D58" w:rsidRPr="004A4655">
        <w:rPr>
          <w:b/>
          <w:sz w:val="28"/>
          <w:szCs w:val="28"/>
        </w:rPr>
        <w:t>High-Temperature</w:t>
      </w:r>
      <w:r w:rsidRPr="004A4655">
        <w:rPr>
          <w:b/>
          <w:sz w:val="28"/>
          <w:szCs w:val="28"/>
        </w:rPr>
        <w:t xml:space="preserve"> Proton Exchange Membrane Fuel Cells</w:t>
      </w:r>
    </w:p>
    <w:p w14:paraId="47B3955D" w14:textId="77777777" w:rsidR="000638FD" w:rsidRDefault="00B55B1A" w:rsidP="00B55B1A">
      <w:pPr>
        <w:pBdr>
          <w:top w:val="nil"/>
          <w:left w:val="nil"/>
          <w:bottom w:val="nil"/>
          <w:right w:val="nil"/>
          <w:between w:val="nil"/>
        </w:pBdr>
        <w:spacing w:after="200"/>
        <w:jc w:val="center"/>
        <w:rPr>
          <w:color w:val="000000"/>
        </w:rPr>
      </w:pPr>
      <w:proofErr w:type="spellStart"/>
      <w:r w:rsidRPr="00B55B1A">
        <w:rPr>
          <w:color w:val="000000"/>
        </w:rPr>
        <w:t>Asna</w:t>
      </w:r>
      <w:proofErr w:type="spellEnd"/>
      <w:r w:rsidRPr="00B55B1A">
        <w:rPr>
          <w:color w:val="000000"/>
        </w:rPr>
        <w:t xml:space="preserve"> Widiastuti</w:t>
      </w:r>
      <w:r w:rsidRPr="00B55B1A">
        <w:rPr>
          <w:color w:val="000000"/>
          <w:vertAlign w:val="superscript"/>
        </w:rPr>
        <w:t>1*</w:t>
      </w:r>
      <w:r w:rsidRPr="00B55B1A">
        <w:rPr>
          <w:color w:val="000000"/>
        </w:rPr>
        <w:t xml:space="preserve">, </w:t>
      </w:r>
      <w:proofErr w:type="spellStart"/>
      <w:r w:rsidRPr="00B55B1A">
        <w:rPr>
          <w:color w:val="000000"/>
        </w:rPr>
        <w:t>Pongsapak</w:t>
      </w:r>
      <w:proofErr w:type="spellEnd"/>
      <w:r w:rsidRPr="00B55B1A">
        <w:rPr>
          <w:color w:val="000000"/>
        </w:rPr>
        <w:t xml:space="preserve"> Treegosol</w:t>
      </w:r>
      <w:r w:rsidRPr="00B55B1A">
        <w:rPr>
          <w:color w:val="000000"/>
          <w:vertAlign w:val="superscript"/>
        </w:rPr>
        <w:t>1</w:t>
      </w:r>
      <w:r w:rsidRPr="00B55B1A">
        <w:rPr>
          <w:color w:val="000000"/>
        </w:rPr>
        <w:t>, Yong-Song Chen</w:t>
      </w:r>
      <w:r w:rsidRPr="00B55B1A">
        <w:rPr>
          <w:color w:val="000000"/>
          <w:vertAlign w:val="superscript"/>
        </w:rPr>
        <w:t>1</w:t>
      </w:r>
    </w:p>
    <w:p w14:paraId="47B3955E" w14:textId="77777777" w:rsidR="000638FD" w:rsidRDefault="00E22FAE" w:rsidP="00B55B1A">
      <w:pPr>
        <w:pBdr>
          <w:top w:val="nil"/>
          <w:left w:val="nil"/>
          <w:bottom w:val="nil"/>
          <w:right w:val="nil"/>
          <w:between w:val="nil"/>
        </w:pBdr>
        <w:jc w:val="center"/>
        <w:rPr>
          <w:color w:val="000000"/>
          <w:sz w:val="18"/>
          <w:szCs w:val="18"/>
        </w:rPr>
      </w:pPr>
      <w:r>
        <w:rPr>
          <w:color w:val="000000"/>
          <w:sz w:val="18"/>
          <w:szCs w:val="18"/>
          <w:vertAlign w:val="superscript"/>
        </w:rPr>
        <w:t>1</w:t>
      </w:r>
      <w:r w:rsidR="00B55B1A">
        <w:rPr>
          <w:color w:val="000000"/>
          <w:sz w:val="18"/>
          <w:szCs w:val="18"/>
        </w:rPr>
        <w:t xml:space="preserve"> </w:t>
      </w:r>
      <w:r w:rsidR="00B55B1A" w:rsidRPr="00B55B1A">
        <w:rPr>
          <w:color w:val="000000"/>
          <w:sz w:val="18"/>
          <w:szCs w:val="18"/>
        </w:rPr>
        <w:t>Department of Mechanical Engineering, National Chung-Cheng University, Chiayi County 62102, Taiwan</w:t>
      </w:r>
      <w:r>
        <w:rPr>
          <w:color w:val="000000"/>
          <w:sz w:val="18"/>
          <w:szCs w:val="18"/>
        </w:rPr>
        <w:br/>
      </w:r>
      <w:r w:rsidR="00687C82">
        <w:rPr>
          <w:rFonts w:ascii="Courier" w:eastAsia="Courier" w:hAnsi="Courier" w:cs="Courier"/>
          <w:color w:val="000000"/>
          <w:sz w:val="18"/>
          <w:szCs w:val="18"/>
        </w:rPr>
        <w:t>asnawidiastuti86@gmail.com</w:t>
      </w:r>
    </w:p>
    <w:p w14:paraId="47B3955F" w14:textId="3A84E8BD" w:rsidR="000638FD" w:rsidRDefault="00E22FAE">
      <w:pPr>
        <w:pBdr>
          <w:top w:val="nil"/>
          <w:left w:val="nil"/>
          <w:bottom w:val="nil"/>
          <w:right w:val="nil"/>
          <w:between w:val="nil"/>
        </w:pBdr>
        <w:spacing w:before="600"/>
        <w:ind w:left="567" w:right="567"/>
        <w:jc w:val="both"/>
        <w:rPr>
          <w:color w:val="000000"/>
          <w:sz w:val="18"/>
          <w:szCs w:val="18"/>
        </w:rPr>
      </w:pPr>
      <w:r>
        <w:rPr>
          <w:b/>
          <w:color w:val="000000"/>
          <w:sz w:val="18"/>
          <w:szCs w:val="18"/>
        </w:rPr>
        <w:t xml:space="preserve">Abstract. </w:t>
      </w:r>
      <w:r w:rsidR="00902D58">
        <w:rPr>
          <w:sz w:val="18"/>
          <w:szCs w:val="18"/>
        </w:rPr>
        <w:t>High-temperature</w:t>
      </w:r>
      <w:r>
        <w:rPr>
          <w:sz w:val="18"/>
          <w:szCs w:val="18"/>
        </w:rPr>
        <w:t xml:space="preserve"> polymer electrolyte membrane fuel cells (HT-PEMFCs) operate at 120</w:t>
      </w:r>
      <w:r w:rsidR="008C6E66">
        <w:rPr>
          <w:sz w:val="18"/>
          <w:szCs w:val="18"/>
        </w:rPr>
        <w:t>-2</w:t>
      </w:r>
      <w:r>
        <w:rPr>
          <w:sz w:val="18"/>
          <w:szCs w:val="18"/>
        </w:rPr>
        <w:t xml:space="preserve">00°C, avoiding water flooding, tolerating CO, and improving reaction kinetics. The gas diffusion layer (GDL), which </w:t>
      </w:r>
      <w:r w:rsidR="00902D58">
        <w:rPr>
          <w:sz w:val="18"/>
          <w:szCs w:val="18"/>
        </w:rPr>
        <w:t>consists</w:t>
      </w:r>
      <w:r>
        <w:rPr>
          <w:sz w:val="18"/>
          <w:szCs w:val="18"/>
        </w:rPr>
        <w:t xml:space="preserve"> of the microporous layer (MPL) and carbon paper/cloth, is crucial for mass transport, heat transfer, and electricity conduction. The presence of the MPL can enhance electrochemical surface area (ECSE) and </w:t>
      </w:r>
      <w:r w:rsidR="00902D58">
        <w:rPr>
          <w:sz w:val="18"/>
          <w:szCs w:val="18"/>
        </w:rPr>
        <w:t>prevent</w:t>
      </w:r>
      <w:r>
        <w:rPr>
          <w:sz w:val="18"/>
          <w:szCs w:val="18"/>
        </w:rPr>
        <w:t xml:space="preserve"> phosphoric acid </w:t>
      </w:r>
      <w:r w:rsidR="00902D58">
        <w:rPr>
          <w:sz w:val="18"/>
          <w:szCs w:val="18"/>
        </w:rPr>
        <w:t xml:space="preserve">from </w:t>
      </w:r>
      <w:r>
        <w:rPr>
          <w:sz w:val="18"/>
          <w:szCs w:val="18"/>
        </w:rPr>
        <w:t xml:space="preserve">leaching toward the channel. Those aspects are </w:t>
      </w:r>
      <w:r w:rsidR="00902D58">
        <w:rPr>
          <w:sz w:val="18"/>
          <w:szCs w:val="18"/>
        </w:rPr>
        <w:t>essential</w:t>
      </w:r>
      <w:r>
        <w:rPr>
          <w:sz w:val="18"/>
          <w:szCs w:val="18"/>
        </w:rPr>
        <w:t xml:space="preserve"> to </w:t>
      </w:r>
      <w:r w:rsidR="00902D58">
        <w:rPr>
          <w:sz w:val="18"/>
          <w:szCs w:val="18"/>
        </w:rPr>
        <w:t>improve</w:t>
      </w:r>
      <w:r>
        <w:rPr>
          <w:sz w:val="18"/>
          <w:szCs w:val="18"/>
        </w:rPr>
        <w:t xml:space="preserve"> performance and durability. In this work, the role of MPL in enhancing HT-PEMFC performance, with a focus on MPL structure, is investigated. The MPL with various polytetrafluoroethylene (PTFE) compositions (5, 10, and 20%) and thickness (10 to 50 </w:t>
      </w:r>
      <w:proofErr w:type="spellStart"/>
      <w:r>
        <w:rPr>
          <w:sz w:val="18"/>
          <w:szCs w:val="18"/>
        </w:rPr>
        <w:t>μm</w:t>
      </w:r>
      <w:proofErr w:type="spellEnd"/>
      <w:r>
        <w:rPr>
          <w:sz w:val="18"/>
          <w:szCs w:val="18"/>
        </w:rPr>
        <w:t xml:space="preserve"> are prepared in-house employing ultrasonic spray technology. The commercial carbon paper (GDS310, </w:t>
      </w:r>
      <w:proofErr w:type="spellStart"/>
      <w:r>
        <w:rPr>
          <w:sz w:val="18"/>
          <w:szCs w:val="18"/>
        </w:rPr>
        <w:t>CeTech</w:t>
      </w:r>
      <w:proofErr w:type="spellEnd"/>
      <w:r>
        <w:rPr>
          <w:sz w:val="18"/>
          <w:szCs w:val="18"/>
        </w:rPr>
        <w:t xml:space="preserve">, Taiwan) is sprayed with MPL followed by 1 mg Pt cm </w:t>
      </w:r>
      <w:r w:rsidR="008C6E66">
        <w:rPr>
          <w:sz w:val="18"/>
          <w:szCs w:val="18"/>
          <w:vertAlign w:val="superscript"/>
        </w:rPr>
        <w:t>-2</w:t>
      </w:r>
      <w:r>
        <w:rPr>
          <w:sz w:val="18"/>
          <w:szCs w:val="18"/>
        </w:rPr>
        <w:t xml:space="preserve">, while the anode is commercial carbon paper (GDL 340, </w:t>
      </w:r>
      <w:proofErr w:type="spellStart"/>
      <w:r>
        <w:rPr>
          <w:sz w:val="18"/>
          <w:szCs w:val="18"/>
        </w:rPr>
        <w:t>CeTech</w:t>
      </w:r>
      <w:proofErr w:type="spellEnd"/>
      <w:r>
        <w:rPr>
          <w:sz w:val="18"/>
          <w:szCs w:val="18"/>
        </w:rPr>
        <w:t xml:space="preserve">, Taiwan) sprayed with 0.5 mg Pt cm </w:t>
      </w:r>
      <w:r w:rsidR="008C6E66">
        <w:rPr>
          <w:sz w:val="18"/>
          <w:szCs w:val="18"/>
          <w:vertAlign w:val="superscript"/>
        </w:rPr>
        <w:t>-2</w:t>
      </w:r>
      <w:r>
        <w:rPr>
          <w:sz w:val="18"/>
          <w:szCs w:val="18"/>
        </w:rPr>
        <w:t xml:space="preserve">. HT-PEMFC is operated at 180oC, with stoichiometric ratios of 1.2 and 2 for hydrogen and air, respectively. The results indicate that, for lower binder composition, increasing MPL thickness can enhance HT-PEMFC performance. However, this trend does not hold for higher binder composition. The optimal MPL structure in this study is 50 </w:t>
      </w:r>
      <w:proofErr w:type="spellStart"/>
      <w:r>
        <w:rPr>
          <w:sz w:val="18"/>
          <w:szCs w:val="18"/>
        </w:rPr>
        <w:t>μm</w:t>
      </w:r>
      <w:proofErr w:type="spellEnd"/>
      <w:r>
        <w:rPr>
          <w:sz w:val="18"/>
          <w:szCs w:val="18"/>
        </w:rPr>
        <w:t xml:space="preserve"> in thickness with 5% PTFE. The cell voltage is 0.6 V at 0.324 A cm </w:t>
      </w:r>
      <w:r w:rsidR="008C6E66">
        <w:rPr>
          <w:sz w:val="18"/>
          <w:szCs w:val="18"/>
          <w:vertAlign w:val="superscript"/>
        </w:rPr>
        <w:t>-2</w:t>
      </w:r>
      <w:r>
        <w:rPr>
          <w:sz w:val="18"/>
          <w:szCs w:val="18"/>
        </w:rPr>
        <w:t>, while maximum powe</w:t>
      </w:r>
      <w:r w:rsidR="008C6E66">
        <w:rPr>
          <w:sz w:val="18"/>
          <w:szCs w:val="18"/>
        </w:rPr>
        <w:t xml:space="preserve">r density peaks at 0.3864 W cm </w:t>
      </w:r>
      <w:r w:rsidR="008C6E66">
        <w:rPr>
          <w:sz w:val="18"/>
          <w:szCs w:val="18"/>
          <w:vertAlign w:val="superscript"/>
        </w:rPr>
        <w:t>-2</w:t>
      </w:r>
      <w:r>
        <w:rPr>
          <w:sz w:val="18"/>
          <w:szCs w:val="18"/>
        </w:rPr>
        <w:t xml:space="preserve">. When the MPL thickness is constant, the performance decreases with increasing binder composition: a decrease of 22% at 10% PTFE and 26% at 20% PTFE. The EIS test confirms that the ohmic resistance is 2.7% and 9.7% higher at 5% PTFE compared to 10% and 20% PTFE, respectively, at a thickness of 50 </w:t>
      </w:r>
      <w:proofErr w:type="spellStart"/>
      <w:r>
        <w:rPr>
          <w:sz w:val="18"/>
          <w:szCs w:val="18"/>
        </w:rPr>
        <w:t>μm</w:t>
      </w:r>
      <w:proofErr w:type="spellEnd"/>
      <w:r>
        <w:rPr>
          <w:sz w:val="18"/>
          <w:szCs w:val="18"/>
        </w:rPr>
        <w:t>. However, further observation is needed for 10% and 20% PTFE cases to obtain comprehensive results.</w:t>
      </w:r>
    </w:p>
    <w:p w14:paraId="47B39560" w14:textId="0549F000" w:rsidR="000638FD" w:rsidRDefault="00E22FAE">
      <w:pPr>
        <w:pBdr>
          <w:top w:val="nil"/>
          <w:left w:val="nil"/>
          <w:bottom w:val="nil"/>
          <w:right w:val="nil"/>
          <w:between w:val="nil"/>
        </w:pBdr>
        <w:spacing w:before="220" w:after="360"/>
        <w:ind w:left="567" w:right="567"/>
        <w:rPr>
          <w:color w:val="000000"/>
          <w:sz w:val="18"/>
          <w:szCs w:val="18"/>
        </w:rPr>
      </w:pPr>
      <w:r>
        <w:rPr>
          <w:b/>
          <w:color w:val="000000"/>
          <w:sz w:val="18"/>
          <w:szCs w:val="18"/>
        </w:rPr>
        <w:t>Keywords:</w:t>
      </w:r>
      <w:r>
        <w:rPr>
          <w:color w:val="000000"/>
          <w:sz w:val="18"/>
          <w:szCs w:val="18"/>
        </w:rPr>
        <w:t xml:space="preserve"> </w:t>
      </w:r>
      <w:r w:rsidR="00902D58">
        <w:rPr>
          <w:sz w:val="18"/>
          <w:szCs w:val="18"/>
        </w:rPr>
        <w:t>High-temperature</w:t>
      </w:r>
      <w:r>
        <w:rPr>
          <w:sz w:val="18"/>
          <w:szCs w:val="18"/>
        </w:rPr>
        <w:t xml:space="preserve"> polymer electrolyte membrane fuel cell, Microporous Layer, Gas Diffusion Layer</w:t>
      </w:r>
    </w:p>
    <w:p w14:paraId="47B39561" w14:textId="77777777" w:rsidR="000638FD" w:rsidRDefault="00E22FAE">
      <w:pPr>
        <w:keepNext/>
        <w:keepLines/>
        <w:numPr>
          <w:ilvl w:val="0"/>
          <w:numId w:val="1"/>
        </w:numPr>
        <w:pBdr>
          <w:top w:val="nil"/>
          <w:left w:val="nil"/>
          <w:bottom w:val="nil"/>
          <w:right w:val="nil"/>
          <w:between w:val="nil"/>
        </w:pBdr>
        <w:spacing w:before="360" w:after="240"/>
        <w:rPr>
          <w:b/>
          <w:color w:val="000000"/>
          <w:sz w:val="24"/>
          <w:szCs w:val="24"/>
        </w:rPr>
      </w:pPr>
      <w:r>
        <w:rPr>
          <w:b/>
          <w:sz w:val="24"/>
          <w:szCs w:val="24"/>
        </w:rPr>
        <w:t>Introduction</w:t>
      </w:r>
    </w:p>
    <w:p w14:paraId="47B39562" w14:textId="42CAA223" w:rsidR="00BC3334" w:rsidRDefault="00902D58" w:rsidP="006040B1">
      <w:pPr>
        <w:pBdr>
          <w:top w:val="nil"/>
          <w:left w:val="nil"/>
          <w:bottom w:val="nil"/>
          <w:right w:val="nil"/>
          <w:between w:val="nil"/>
        </w:pBdr>
        <w:jc w:val="both"/>
        <w:rPr>
          <w:color w:val="000000"/>
        </w:rPr>
      </w:pPr>
      <w:r>
        <w:rPr>
          <w:color w:val="000000"/>
        </w:rPr>
        <w:t>High-Temperature</w:t>
      </w:r>
      <w:r w:rsidR="00BC3334" w:rsidRPr="00BC3334">
        <w:rPr>
          <w:color w:val="000000"/>
        </w:rPr>
        <w:t xml:space="preserve"> Polymer Electrolyte Membrane Fuel Cells (HT-PEMFCs) operate at elevated temperatures between 120</w:t>
      </w:r>
      <w:r w:rsidR="008C6E66">
        <w:rPr>
          <w:color w:val="000000"/>
        </w:rPr>
        <w:t>-2</w:t>
      </w:r>
      <w:r w:rsidR="00BC3334" w:rsidRPr="00BC3334">
        <w:rPr>
          <w:color w:val="000000"/>
        </w:rPr>
        <w:t>00°C</w:t>
      </w:r>
      <w:r w:rsidR="001A36FB">
        <w:rPr>
          <w:color w:val="000000"/>
        </w:rPr>
        <w:t xml:space="preserve"> [5-7]</w:t>
      </w:r>
      <w:r w:rsidR="00BC3334" w:rsidRPr="00BC3334">
        <w:rPr>
          <w:color w:val="000000"/>
        </w:rPr>
        <w:t xml:space="preserve">, offering significant advantages over their low-temperature counterparts. These advantages include mitigating water flooding, enhancing </w:t>
      </w:r>
      <w:r>
        <w:rPr>
          <w:color w:val="000000"/>
        </w:rPr>
        <w:t>carbon monoxide (CO) tolerance, and improving electrochemical reaction kinetics</w:t>
      </w:r>
      <w:r w:rsidR="002B1C78">
        <w:rPr>
          <w:color w:val="000000"/>
        </w:rPr>
        <w:t xml:space="preserve"> [1]</w:t>
      </w:r>
      <w:r w:rsidR="00BC3334" w:rsidRPr="00BC3334">
        <w:rPr>
          <w:color w:val="000000"/>
        </w:rPr>
        <w:t xml:space="preserve">. The high operational temperature prevents the condensation of </w:t>
      </w:r>
      <w:r w:rsidR="00BC3334" w:rsidRPr="00BC3334">
        <w:rPr>
          <w:color w:val="000000"/>
        </w:rPr>
        <w:lastRenderedPageBreak/>
        <w:t>water within the cell, thus eliminating the issue of water flooding</w:t>
      </w:r>
      <w:r>
        <w:rPr>
          <w:color w:val="000000"/>
        </w:rPr>
        <w:t>,</w:t>
      </w:r>
      <w:r w:rsidR="00BC3334" w:rsidRPr="00BC3334">
        <w:rPr>
          <w:color w:val="000000"/>
        </w:rPr>
        <w:t xml:space="preserve"> which can impede gas transport and reduce performance</w:t>
      </w:r>
      <w:r w:rsidR="00D85CD7">
        <w:rPr>
          <w:color w:val="000000"/>
        </w:rPr>
        <w:t xml:space="preserve"> [</w:t>
      </w:r>
      <w:r w:rsidR="00F8232E">
        <w:rPr>
          <w:color w:val="000000"/>
        </w:rPr>
        <w:t>1-</w:t>
      </w:r>
      <w:r w:rsidR="00647171">
        <w:rPr>
          <w:color w:val="000000"/>
        </w:rPr>
        <w:t>2</w:t>
      </w:r>
      <w:r w:rsidR="00D85CD7">
        <w:rPr>
          <w:color w:val="000000"/>
        </w:rPr>
        <w:t>]</w:t>
      </w:r>
      <w:r w:rsidR="00BC3334" w:rsidRPr="00BC3334">
        <w:rPr>
          <w:color w:val="000000"/>
        </w:rPr>
        <w:t>. Furthermore, higher temperatures reduce CO poisoning of the platinum catalyst, a common issue in hydrogen fuel produced from reforming processes, by enhancing CO desorption</w:t>
      </w:r>
      <w:r w:rsidR="00F8232E">
        <w:rPr>
          <w:color w:val="000000"/>
        </w:rPr>
        <w:t xml:space="preserve"> [1-3]</w:t>
      </w:r>
      <w:r w:rsidR="00BC3334" w:rsidRPr="00BC3334">
        <w:rPr>
          <w:color w:val="000000"/>
        </w:rPr>
        <w:t>. These improvements contribute to the overall efficiency and reliability of HT-PEMFCs.</w:t>
      </w:r>
    </w:p>
    <w:p w14:paraId="47B39563" w14:textId="08436C29" w:rsidR="00BC3334" w:rsidRDefault="00BC3334" w:rsidP="006040B1">
      <w:pPr>
        <w:pBdr>
          <w:top w:val="nil"/>
          <w:left w:val="nil"/>
          <w:bottom w:val="nil"/>
          <w:right w:val="nil"/>
          <w:between w:val="nil"/>
        </w:pBdr>
        <w:jc w:val="both"/>
        <w:rPr>
          <w:color w:val="000000"/>
        </w:rPr>
      </w:pPr>
      <w:r w:rsidRPr="00BC3334">
        <w:rPr>
          <w:color w:val="000000"/>
        </w:rPr>
        <w:t>A critical component in HT-PEMFCs is the gas diffusion layer (GDL), which consists of a microporous layer (MPL) and a carbon paper or cloth substrate</w:t>
      </w:r>
      <w:r w:rsidR="00031F36">
        <w:rPr>
          <w:color w:val="000000"/>
        </w:rPr>
        <w:t xml:space="preserve"> [</w:t>
      </w:r>
      <w:r w:rsidR="00F8232E">
        <w:rPr>
          <w:color w:val="000000"/>
        </w:rPr>
        <w:t>3-4</w:t>
      </w:r>
      <w:r w:rsidR="00031F36">
        <w:rPr>
          <w:color w:val="000000"/>
        </w:rPr>
        <w:t>]</w:t>
      </w:r>
      <w:r w:rsidRPr="00BC3334">
        <w:rPr>
          <w:color w:val="000000"/>
        </w:rPr>
        <w:t xml:space="preserve">. The GDL </w:t>
      </w:r>
      <w:r w:rsidR="00902D58">
        <w:rPr>
          <w:color w:val="000000"/>
        </w:rPr>
        <w:t>is vital</w:t>
      </w:r>
      <w:r w:rsidRPr="00BC3334">
        <w:rPr>
          <w:color w:val="000000"/>
        </w:rPr>
        <w:t xml:space="preserve"> in facilitating mass transport, heat transfer, and electrical conduction within the cell</w:t>
      </w:r>
      <w:r w:rsidR="001B3662">
        <w:rPr>
          <w:color w:val="000000"/>
        </w:rPr>
        <w:t xml:space="preserve"> [</w:t>
      </w:r>
      <w:r w:rsidR="00647171">
        <w:rPr>
          <w:color w:val="000000"/>
        </w:rPr>
        <w:t>5</w:t>
      </w:r>
      <w:r w:rsidR="002B1C78">
        <w:rPr>
          <w:color w:val="000000"/>
        </w:rPr>
        <w:t>]</w:t>
      </w:r>
      <w:r w:rsidRPr="00BC3334">
        <w:rPr>
          <w:color w:val="000000"/>
        </w:rPr>
        <w:t>. The MPL</w:t>
      </w:r>
      <w:proofErr w:type="gramStart"/>
      <w:r w:rsidRPr="00BC3334">
        <w:rPr>
          <w:color w:val="000000"/>
        </w:rPr>
        <w:t>, in particular, is</w:t>
      </w:r>
      <w:proofErr w:type="gramEnd"/>
      <w:r w:rsidRPr="00BC3334">
        <w:rPr>
          <w:color w:val="000000"/>
        </w:rPr>
        <w:t xml:space="preserve"> essential for enhancing the electrochemical surface area (ECSA) and preventing phosphoric acid </w:t>
      </w:r>
      <w:r w:rsidR="00902D58">
        <w:rPr>
          <w:color w:val="000000"/>
        </w:rPr>
        <w:t xml:space="preserve">from </w:t>
      </w:r>
      <w:r w:rsidRPr="00BC3334">
        <w:rPr>
          <w:color w:val="000000"/>
        </w:rPr>
        <w:t>leaching into the flow channels</w:t>
      </w:r>
      <w:r w:rsidR="00B234C1">
        <w:rPr>
          <w:color w:val="000000"/>
        </w:rPr>
        <w:t xml:space="preserve"> [5-6</w:t>
      </w:r>
      <w:r w:rsidR="002B1C78">
        <w:rPr>
          <w:color w:val="000000"/>
        </w:rPr>
        <w:t>]</w:t>
      </w:r>
      <w:r w:rsidRPr="00BC3334">
        <w:rPr>
          <w:color w:val="000000"/>
        </w:rPr>
        <w:t>. By optimizing the structure and composition of the MPL, the performance and durability of HT-PEMFCs can be significantly enhanced</w:t>
      </w:r>
      <w:r w:rsidR="005D30C4">
        <w:rPr>
          <w:color w:val="000000"/>
        </w:rPr>
        <w:t xml:space="preserve"> [</w:t>
      </w:r>
      <w:r w:rsidR="00B234C1">
        <w:rPr>
          <w:color w:val="000000"/>
        </w:rPr>
        <w:t>5-</w:t>
      </w:r>
      <w:r w:rsidR="005D30C4">
        <w:rPr>
          <w:color w:val="000000"/>
        </w:rPr>
        <w:t>6</w:t>
      </w:r>
      <w:r w:rsidR="002B1C78">
        <w:rPr>
          <w:color w:val="000000"/>
        </w:rPr>
        <w:t>]</w:t>
      </w:r>
      <w:r w:rsidRPr="00BC3334">
        <w:rPr>
          <w:color w:val="000000"/>
        </w:rPr>
        <w:t>. The interaction between the MPL and the catalyst layer directly impacts the efficiency of reactant gas distribution and water management, which are crucial for maintaining high performance</w:t>
      </w:r>
      <w:r w:rsidR="00647171">
        <w:rPr>
          <w:color w:val="000000"/>
        </w:rPr>
        <w:t xml:space="preserve"> [7</w:t>
      </w:r>
      <w:r w:rsidR="002B1C78">
        <w:rPr>
          <w:color w:val="000000"/>
        </w:rPr>
        <w:t>]</w:t>
      </w:r>
      <w:r w:rsidRPr="00BC3334">
        <w:rPr>
          <w:color w:val="000000"/>
        </w:rPr>
        <w:t>.</w:t>
      </w:r>
    </w:p>
    <w:p w14:paraId="47B39564" w14:textId="297A8BBF" w:rsidR="00BC3334" w:rsidRDefault="00BC3334" w:rsidP="00BC3334">
      <w:pPr>
        <w:pBdr>
          <w:top w:val="nil"/>
          <w:left w:val="nil"/>
          <w:bottom w:val="nil"/>
          <w:right w:val="nil"/>
          <w:between w:val="nil"/>
        </w:pBdr>
        <w:jc w:val="both"/>
        <w:rPr>
          <w:color w:val="000000"/>
        </w:rPr>
      </w:pPr>
      <w:r w:rsidRPr="00BC3334">
        <w:rPr>
          <w:color w:val="000000"/>
        </w:rPr>
        <w:t xml:space="preserve">This study </w:t>
      </w:r>
      <w:r w:rsidR="00902D58">
        <w:rPr>
          <w:color w:val="000000"/>
        </w:rPr>
        <w:t>investigates</w:t>
      </w:r>
      <w:r w:rsidRPr="00BC3334">
        <w:rPr>
          <w:color w:val="000000"/>
        </w:rPr>
        <w:t xml:space="preserve"> the role of the MPL in improving HT-PEMFC performance, </w:t>
      </w:r>
      <w:r w:rsidR="00902D58">
        <w:rPr>
          <w:color w:val="000000"/>
        </w:rPr>
        <w:t>mainly</w:t>
      </w:r>
      <w:r w:rsidRPr="00BC3334">
        <w:rPr>
          <w:color w:val="000000"/>
        </w:rPr>
        <w:t xml:space="preserve"> through variations in MPL structure. Using ultrasonic spray technology, MPLs with different polytetrafluoroethylene (PTFE) compositions (5%, 10%, and 20%) and thicknesses (10 to 50 </w:t>
      </w:r>
      <w:proofErr w:type="spellStart"/>
      <w:r w:rsidRPr="00BC3334">
        <w:rPr>
          <w:color w:val="000000"/>
        </w:rPr>
        <w:t>μm</w:t>
      </w:r>
      <w:proofErr w:type="spellEnd"/>
      <w:r w:rsidRPr="00BC3334">
        <w:rPr>
          <w:color w:val="000000"/>
        </w:rPr>
        <w:t>) were prepared and applied to com</w:t>
      </w:r>
      <w:r w:rsidR="002B1C78">
        <w:rPr>
          <w:color w:val="000000"/>
        </w:rPr>
        <w:t>mercial carbon paper substrates</w:t>
      </w:r>
      <w:r w:rsidRPr="00BC3334">
        <w:rPr>
          <w:color w:val="000000"/>
        </w:rPr>
        <w:t>.</w:t>
      </w:r>
    </w:p>
    <w:p w14:paraId="47B39565" w14:textId="77777777" w:rsidR="00835AD6" w:rsidRDefault="00835AD6" w:rsidP="00835AD6">
      <w:pPr>
        <w:keepNext/>
        <w:keepLines/>
        <w:numPr>
          <w:ilvl w:val="0"/>
          <w:numId w:val="1"/>
        </w:numPr>
        <w:spacing w:before="360" w:after="240"/>
        <w:rPr>
          <w:b/>
          <w:sz w:val="24"/>
          <w:szCs w:val="24"/>
        </w:rPr>
      </w:pPr>
      <w:r>
        <w:rPr>
          <w:b/>
          <w:sz w:val="24"/>
          <w:szCs w:val="24"/>
        </w:rPr>
        <w:t>Experimental</w:t>
      </w:r>
    </w:p>
    <w:p w14:paraId="47B39566" w14:textId="77777777" w:rsidR="00835AD6" w:rsidRDefault="00835AD6" w:rsidP="00835AD6">
      <w:pPr>
        <w:keepNext/>
        <w:keepLines/>
        <w:numPr>
          <w:ilvl w:val="1"/>
          <w:numId w:val="1"/>
        </w:numPr>
        <w:spacing w:after="160"/>
        <w:rPr>
          <w:b/>
        </w:rPr>
      </w:pPr>
      <w:r>
        <w:rPr>
          <w:b/>
        </w:rPr>
        <w:t>Preparation of gas diffusion electrode</w:t>
      </w:r>
    </w:p>
    <w:p w14:paraId="47B39567" w14:textId="53C833E1" w:rsidR="00256B50" w:rsidRPr="00256B50" w:rsidRDefault="00835AD6" w:rsidP="00256B50">
      <w:pPr>
        <w:keepNext/>
        <w:keepLines/>
        <w:spacing w:after="160"/>
        <w:jc w:val="both"/>
      </w:pPr>
      <w:r>
        <w:t>MPL inks were prepared by dispersing carbon black (Vulcan XC-72), PTFE (</w:t>
      </w:r>
      <w:r w:rsidRPr="00835AD6">
        <w:t>60%, Aldrich, USA) in deionized (DI) water and Isopropyl Alco</w:t>
      </w:r>
      <w:r>
        <w:t xml:space="preserve">hol (IPA) using </w:t>
      </w:r>
      <w:r w:rsidR="00902D58">
        <w:t xml:space="preserve">an </w:t>
      </w:r>
      <w:r>
        <w:t>ultrasonic bath and planetary mixer.</w:t>
      </w:r>
      <w:r w:rsidRPr="00835AD6">
        <w:t xml:space="preserve"> The </w:t>
      </w:r>
      <w:r w:rsidR="00902D58">
        <w:t>details of these cases</w:t>
      </w:r>
      <w:r w:rsidRPr="00835AD6">
        <w:t xml:space="preserve"> are shown in Table 1</w:t>
      </w:r>
      <w:r>
        <w:t xml:space="preserve">. Catalyst inks in this study </w:t>
      </w:r>
      <w:r w:rsidR="00902D58">
        <w:t>consist</w:t>
      </w:r>
      <w:r>
        <w:t xml:space="preserve"> of commercial catalyst (46.7% Pt/C), </w:t>
      </w:r>
      <w:r w:rsidR="00BD2F03" w:rsidRPr="00BD2F03">
        <w:t xml:space="preserve">Polyvinylidene Fluoride </w:t>
      </w:r>
      <w:r w:rsidR="00BD2F03">
        <w:t>(</w:t>
      </w:r>
      <w:r>
        <w:t>PVDF</w:t>
      </w:r>
      <w:r w:rsidR="00BD2F03">
        <w:t>)</w:t>
      </w:r>
      <w:r>
        <w:t xml:space="preserve"> binder, and DMAc as solvent. All contents were mixed using an ultrasonic bath and planetary mixer to ensure that the particle size of the mixture was sufficiently small. </w:t>
      </w:r>
      <w:proofErr w:type="gramStart"/>
      <w:r>
        <w:t>All of</w:t>
      </w:r>
      <w:proofErr w:type="gramEnd"/>
      <w:r>
        <w:t xml:space="preserve"> the </w:t>
      </w:r>
      <w:r w:rsidR="00540F2B">
        <w:t>Gas Diffusion Electrodes (</w:t>
      </w:r>
      <w:r>
        <w:t>GDEs</w:t>
      </w:r>
      <w:r w:rsidR="00540F2B">
        <w:t>)</w:t>
      </w:r>
      <w:r>
        <w:t xml:space="preserve"> employed in this investigation had platinum loading of 0.5 mg cm</w:t>
      </w:r>
      <w:r w:rsidR="008C6E66">
        <w:rPr>
          <w:vertAlign w:val="superscript"/>
        </w:rPr>
        <w:t>-2</w:t>
      </w:r>
      <w:r>
        <w:t xml:space="preserve"> and 1 mg cm</w:t>
      </w:r>
      <w:r w:rsidR="008C6E66">
        <w:rPr>
          <w:vertAlign w:val="superscript"/>
        </w:rPr>
        <w:t>-2</w:t>
      </w:r>
      <w:r>
        <w:rPr>
          <w:vertAlign w:val="superscript"/>
        </w:rPr>
        <w:t xml:space="preserve"> </w:t>
      </w:r>
      <w:r>
        <w:t xml:space="preserve">for </w:t>
      </w:r>
      <w:r w:rsidR="00902D58">
        <w:t xml:space="preserve">the </w:t>
      </w:r>
      <w:r>
        <w:t xml:space="preserve">anode and cathode side, respectively. </w:t>
      </w:r>
    </w:p>
    <w:p w14:paraId="47B39568" w14:textId="77777777" w:rsidR="00256B50" w:rsidRPr="000B7833" w:rsidRDefault="00256B50" w:rsidP="00256B50">
      <w:pPr>
        <w:keepNext/>
        <w:keepLines/>
        <w:numPr>
          <w:ilvl w:val="1"/>
          <w:numId w:val="1"/>
        </w:numPr>
        <w:spacing w:after="160"/>
        <w:rPr>
          <w:b/>
        </w:rPr>
      </w:pPr>
      <w:r>
        <w:rPr>
          <w:b/>
        </w:rPr>
        <w:t>Preparation of MEA and Fuel Cell Test</w:t>
      </w:r>
    </w:p>
    <w:p w14:paraId="47B39569" w14:textId="72473ADF" w:rsidR="00256B50" w:rsidRPr="00BA6B54" w:rsidRDefault="00256B50" w:rsidP="00256B50">
      <w:pPr>
        <w:keepNext/>
        <w:keepLines/>
        <w:spacing w:after="160"/>
        <w:jc w:val="both"/>
      </w:pPr>
      <w:r>
        <w:t xml:space="preserve">Membrane Electrode Assembly (MEAs) were constructed in a single stack fuel cell by sandwiching the </w:t>
      </w:r>
      <w:r w:rsidR="006C34CD">
        <w:t>Phosphoric Acid (</w:t>
      </w:r>
      <w:r w:rsidR="00902D58">
        <w:t>PA</w:t>
      </w:r>
      <w:r w:rsidR="006C34CD">
        <w:t>)</w:t>
      </w:r>
      <w:r w:rsidR="00902D58">
        <w:t>-doped</w:t>
      </w:r>
      <w:r>
        <w:t xml:space="preserve"> </w:t>
      </w:r>
      <w:r w:rsidR="005515A0" w:rsidRPr="005515A0">
        <w:t>Polybenzimidazole</w:t>
      </w:r>
      <w:r w:rsidR="005515A0">
        <w:t xml:space="preserve"> (</w:t>
      </w:r>
      <w:r>
        <w:t>PBI</w:t>
      </w:r>
      <w:r w:rsidR="005515A0">
        <w:t>)</w:t>
      </w:r>
      <w:r>
        <w:t xml:space="preserve"> membrane between two </w:t>
      </w:r>
      <w:r w:rsidR="00540F2B">
        <w:t xml:space="preserve">Gas Diffusion Electrodes (GDEs) </w:t>
      </w:r>
      <w:r w:rsidR="006C34CD">
        <w:t>with</w:t>
      </w:r>
      <w:r>
        <w:t xml:space="preserve"> an active area of 5x5 cm</w:t>
      </w:r>
      <w:r>
        <w:rPr>
          <w:vertAlign w:val="superscript"/>
        </w:rPr>
        <w:t>2</w:t>
      </w:r>
      <w:r>
        <w:t xml:space="preserve">. The endplate, current collector, gasket, bipolar plate, GDLs, and membrane </w:t>
      </w:r>
      <w:r w:rsidR="00902D58">
        <w:t>comprise</w:t>
      </w:r>
      <w:r>
        <w:t xml:space="preserve"> </w:t>
      </w:r>
      <w:r w:rsidR="00BA6B54">
        <w:t>a single cell. In the galvanostatic mode, polarization curves were measured while an external load applied the necessary current. The single cell was operated for 24 hours at 180</w:t>
      </w:r>
      <w:r w:rsidR="00BA6B54">
        <w:rPr>
          <w:vertAlign w:val="superscript"/>
        </w:rPr>
        <w:t xml:space="preserve"> </w:t>
      </w:r>
      <w:r w:rsidR="00902D58">
        <w:rPr>
          <w:vertAlign w:val="superscript"/>
        </w:rPr>
        <w:t xml:space="preserve">C with a </w:t>
      </w:r>
      <w:r w:rsidR="00BA6B54">
        <w:t xml:space="preserve">constant voltage of 0.6 </w:t>
      </w:r>
      <w:r w:rsidR="00902D58">
        <w:t>before</w:t>
      </w:r>
      <w:r w:rsidR="00BA6B54">
        <w:t xml:space="preserve"> I-V measurements. Tests were conducted on </w:t>
      </w:r>
      <w:proofErr w:type="spellStart"/>
      <w:r w:rsidR="00902D58">
        <w:t>Hephas</w:t>
      </w:r>
      <w:proofErr w:type="spellEnd"/>
      <w:r w:rsidR="00902D58">
        <w:t xml:space="preserve"> Energy’s</w:t>
      </w:r>
      <w:r w:rsidR="00BA6B54">
        <w:t xml:space="preserve"> HS-150 fuel cell test station. </w:t>
      </w:r>
    </w:p>
    <w:p w14:paraId="47B3956A" w14:textId="77777777" w:rsidR="00835AD6" w:rsidRDefault="00835AD6" w:rsidP="00BC3334">
      <w:pPr>
        <w:pBdr>
          <w:top w:val="nil"/>
          <w:left w:val="nil"/>
          <w:bottom w:val="nil"/>
          <w:right w:val="nil"/>
          <w:between w:val="nil"/>
        </w:pBdr>
        <w:jc w:val="both"/>
        <w:rPr>
          <w:color w:val="000000"/>
        </w:rPr>
      </w:pPr>
    </w:p>
    <w:p w14:paraId="47B3956B" w14:textId="77777777" w:rsidR="00835AD6" w:rsidRPr="00CF5E59" w:rsidRDefault="00835AD6" w:rsidP="00835AD6">
      <w:pPr>
        <w:keepNext/>
        <w:keepLines/>
        <w:pBdr>
          <w:top w:val="nil"/>
          <w:left w:val="nil"/>
          <w:bottom w:val="nil"/>
          <w:right w:val="nil"/>
          <w:between w:val="nil"/>
        </w:pBdr>
        <w:spacing w:before="240" w:after="120"/>
        <w:jc w:val="center"/>
        <w:rPr>
          <w:color w:val="000000"/>
          <w:sz w:val="18"/>
          <w:szCs w:val="18"/>
        </w:rPr>
      </w:pPr>
      <w:r>
        <w:rPr>
          <w:b/>
          <w:color w:val="000000"/>
          <w:sz w:val="18"/>
          <w:szCs w:val="18"/>
        </w:rPr>
        <w:lastRenderedPageBreak/>
        <w:t>Table 1.</w:t>
      </w:r>
      <w:r>
        <w:rPr>
          <w:color w:val="000000"/>
          <w:sz w:val="18"/>
          <w:szCs w:val="18"/>
        </w:rPr>
        <w:t xml:space="preserve"> The specification of the GDL in this study</w:t>
      </w:r>
    </w:p>
    <w:tbl>
      <w:tblPr>
        <w:tblStyle w:val="a9"/>
        <w:tblW w:w="6744" w:type="dxa"/>
        <w:jc w:val="center"/>
        <w:tblLayout w:type="fixed"/>
        <w:tblLook w:val="0000" w:firstRow="0" w:lastRow="0" w:firstColumn="0" w:lastColumn="0" w:noHBand="0" w:noVBand="0"/>
      </w:tblPr>
      <w:tblGrid>
        <w:gridCol w:w="2160"/>
        <w:gridCol w:w="2292"/>
        <w:gridCol w:w="2292"/>
      </w:tblGrid>
      <w:tr w:rsidR="00835AD6" w:rsidRPr="00736092" w14:paraId="47B3956F" w14:textId="77777777" w:rsidTr="00835AD6">
        <w:trPr>
          <w:trHeight w:val="213"/>
          <w:jc w:val="center"/>
        </w:trPr>
        <w:tc>
          <w:tcPr>
            <w:tcW w:w="2160" w:type="dxa"/>
            <w:tcBorders>
              <w:top w:val="single" w:sz="12" w:space="0" w:color="000000"/>
              <w:bottom w:val="single" w:sz="6" w:space="0" w:color="000000"/>
            </w:tcBorders>
          </w:tcPr>
          <w:p w14:paraId="47B3956C" w14:textId="77777777" w:rsidR="00835AD6" w:rsidRPr="00736092" w:rsidRDefault="00835AD6" w:rsidP="00835AD6">
            <w:pPr>
              <w:keepNext/>
              <w:keepLines/>
              <w:spacing w:after="160"/>
              <w:ind w:left="567"/>
              <w:jc w:val="center"/>
              <w:rPr>
                <w:b/>
              </w:rPr>
            </w:pPr>
            <w:r w:rsidRPr="00736092">
              <w:rPr>
                <w:b/>
              </w:rPr>
              <w:t>5%PTFE</w:t>
            </w:r>
          </w:p>
        </w:tc>
        <w:tc>
          <w:tcPr>
            <w:tcW w:w="2292" w:type="dxa"/>
            <w:tcBorders>
              <w:top w:val="single" w:sz="12" w:space="0" w:color="000000"/>
              <w:bottom w:val="single" w:sz="6" w:space="0" w:color="000000"/>
            </w:tcBorders>
          </w:tcPr>
          <w:p w14:paraId="47B3956D" w14:textId="77777777" w:rsidR="00835AD6" w:rsidRDefault="00835AD6" w:rsidP="00835AD6">
            <w:pPr>
              <w:keepNext/>
              <w:keepLines/>
              <w:spacing w:after="160"/>
              <w:ind w:left="567"/>
              <w:jc w:val="center"/>
              <w:rPr>
                <w:b/>
              </w:rPr>
            </w:pPr>
            <w:r>
              <w:rPr>
                <w:b/>
              </w:rPr>
              <w:t>1</w:t>
            </w:r>
            <w:r w:rsidRPr="00736092">
              <w:rPr>
                <w:b/>
              </w:rPr>
              <w:t>0% PTFE</w:t>
            </w:r>
          </w:p>
        </w:tc>
        <w:tc>
          <w:tcPr>
            <w:tcW w:w="2292" w:type="dxa"/>
            <w:tcBorders>
              <w:top w:val="single" w:sz="12" w:space="0" w:color="000000"/>
              <w:bottom w:val="single" w:sz="6" w:space="0" w:color="000000"/>
            </w:tcBorders>
          </w:tcPr>
          <w:p w14:paraId="47B3956E" w14:textId="77777777" w:rsidR="00835AD6" w:rsidRDefault="00343C24" w:rsidP="00835AD6">
            <w:pPr>
              <w:keepNext/>
              <w:keepLines/>
              <w:spacing w:after="160"/>
              <w:ind w:left="567"/>
              <w:jc w:val="center"/>
              <w:rPr>
                <w:b/>
              </w:rPr>
            </w:pPr>
            <w:r>
              <w:rPr>
                <w:b/>
              </w:rPr>
              <w:t>2</w:t>
            </w:r>
            <w:r w:rsidR="00835AD6" w:rsidRPr="00736092">
              <w:rPr>
                <w:b/>
              </w:rPr>
              <w:t>0% PTFE</w:t>
            </w:r>
          </w:p>
        </w:tc>
      </w:tr>
      <w:tr w:rsidR="00835AD6" w:rsidRPr="00736092" w14:paraId="47B39577" w14:textId="77777777" w:rsidTr="00835AD6">
        <w:trPr>
          <w:trHeight w:val="435"/>
          <w:jc w:val="center"/>
        </w:trPr>
        <w:tc>
          <w:tcPr>
            <w:tcW w:w="2160" w:type="dxa"/>
            <w:vAlign w:val="center"/>
          </w:tcPr>
          <w:p w14:paraId="47B39570" w14:textId="77777777" w:rsidR="00835AD6" w:rsidRPr="001E13A6" w:rsidRDefault="00835AD6" w:rsidP="00835AD6">
            <w:pPr>
              <w:keepNext/>
              <w:keepLines/>
              <w:spacing w:after="160"/>
              <w:ind w:left="567"/>
              <w:jc w:val="center"/>
            </w:pPr>
            <w:r w:rsidRPr="001E13A6">
              <w:t xml:space="preserve">10 </w:t>
            </w:r>
            <w:r w:rsidRPr="001E13A6">
              <w:rPr>
                <w:rFonts w:ascii="Garamond" w:hAnsi="Garamond"/>
              </w:rPr>
              <w:t>µm</w:t>
            </w:r>
          </w:p>
        </w:tc>
        <w:tc>
          <w:tcPr>
            <w:tcW w:w="2292" w:type="dxa"/>
            <w:vMerge w:val="restart"/>
          </w:tcPr>
          <w:p w14:paraId="47B39571" w14:textId="77777777" w:rsidR="00835AD6" w:rsidRDefault="00835AD6" w:rsidP="00835AD6">
            <w:pPr>
              <w:keepNext/>
              <w:keepLines/>
              <w:spacing w:after="160"/>
            </w:pPr>
          </w:p>
          <w:p w14:paraId="47B39572" w14:textId="77777777" w:rsidR="00835AD6" w:rsidRDefault="00835AD6" w:rsidP="00835AD6">
            <w:pPr>
              <w:keepNext/>
              <w:keepLines/>
              <w:spacing w:after="160"/>
            </w:pPr>
          </w:p>
          <w:p w14:paraId="47B39573" w14:textId="77777777" w:rsidR="00835AD6" w:rsidRPr="001E13A6" w:rsidRDefault="00835AD6" w:rsidP="00835AD6">
            <w:pPr>
              <w:keepNext/>
              <w:keepLines/>
              <w:spacing w:after="160"/>
              <w:jc w:val="center"/>
            </w:pPr>
            <w:r w:rsidRPr="001E13A6">
              <w:t xml:space="preserve">50 </w:t>
            </w:r>
            <w:r w:rsidRPr="001E13A6">
              <w:rPr>
                <w:rFonts w:ascii="Garamond" w:hAnsi="Garamond"/>
              </w:rPr>
              <w:t>µm</w:t>
            </w:r>
            <w:r>
              <w:t xml:space="preserve"> </w:t>
            </w:r>
          </w:p>
        </w:tc>
        <w:tc>
          <w:tcPr>
            <w:tcW w:w="2292" w:type="dxa"/>
            <w:vMerge w:val="restart"/>
          </w:tcPr>
          <w:p w14:paraId="47B39574" w14:textId="77777777" w:rsidR="00835AD6" w:rsidRDefault="00835AD6" w:rsidP="00835AD6">
            <w:pPr>
              <w:keepNext/>
              <w:keepLines/>
              <w:spacing w:after="160"/>
            </w:pPr>
          </w:p>
          <w:p w14:paraId="47B39575" w14:textId="77777777" w:rsidR="00835AD6" w:rsidRDefault="00835AD6" w:rsidP="00835AD6">
            <w:pPr>
              <w:keepNext/>
              <w:keepLines/>
              <w:spacing w:after="160"/>
            </w:pPr>
          </w:p>
          <w:p w14:paraId="47B39576" w14:textId="77777777" w:rsidR="00835AD6" w:rsidRPr="001E13A6" w:rsidRDefault="00835AD6" w:rsidP="00835AD6">
            <w:pPr>
              <w:keepNext/>
              <w:keepLines/>
              <w:spacing w:after="160"/>
              <w:jc w:val="center"/>
            </w:pPr>
            <w:r w:rsidRPr="001E13A6">
              <w:t xml:space="preserve">50 </w:t>
            </w:r>
            <w:r w:rsidRPr="001E13A6">
              <w:rPr>
                <w:rFonts w:ascii="Garamond" w:hAnsi="Garamond"/>
              </w:rPr>
              <w:t>µm</w:t>
            </w:r>
          </w:p>
        </w:tc>
      </w:tr>
      <w:tr w:rsidR="00835AD6" w:rsidRPr="00736092" w14:paraId="47B3957B" w14:textId="77777777" w:rsidTr="00835AD6">
        <w:trPr>
          <w:trHeight w:val="441"/>
          <w:jc w:val="center"/>
        </w:trPr>
        <w:tc>
          <w:tcPr>
            <w:tcW w:w="2160" w:type="dxa"/>
            <w:vAlign w:val="center"/>
          </w:tcPr>
          <w:p w14:paraId="47B39578" w14:textId="77777777" w:rsidR="00835AD6" w:rsidRPr="001E13A6" w:rsidRDefault="00835AD6" w:rsidP="00835AD6">
            <w:pPr>
              <w:keepNext/>
              <w:keepLines/>
              <w:spacing w:after="160"/>
              <w:ind w:left="567"/>
              <w:jc w:val="center"/>
            </w:pPr>
            <w:r w:rsidRPr="001E13A6">
              <w:t xml:space="preserve">30 </w:t>
            </w:r>
            <w:r w:rsidRPr="001E13A6">
              <w:rPr>
                <w:rFonts w:ascii="Garamond" w:hAnsi="Garamond"/>
              </w:rPr>
              <w:t>µm</w:t>
            </w:r>
          </w:p>
        </w:tc>
        <w:tc>
          <w:tcPr>
            <w:tcW w:w="2292" w:type="dxa"/>
            <w:vMerge/>
          </w:tcPr>
          <w:p w14:paraId="47B39579" w14:textId="77777777" w:rsidR="00835AD6" w:rsidRPr="00736092" w:rsidRDefault="00835AD6" w:rsidP="00835AD6">
            <w:pPr>
              <w:keepNext/>
              <w:keepLines/>
              <w:spacing w:after="160"/>
              <w:ind w:left="567"/>
              <w:jc w:val="both"/>
            </w:pPr>
          </w:p>
        </w:tc>
        <w:tc>
          <w:tcPr>
            <w:tcW w:w="2292" w:type="dxa"/>
            <w:vMerge/>
          </w:tcPr>
          <w:p w14:paraId="47B3957A" w14:textId="77777777" w:rsidR="00835AD6" w:rsidRPr="00736092" w:rsidRDefault="00835AD6" w:rsidP="00835AD6">
            <w:pPr>
              <w:keepNext/>
              <w:keepLines/>
              <w:spacing w:after="160"/>
              <w:ind w:left="567"/>
              <w:jc w:val="both"/>
            </w:pPr>
          </w:p>
        </w:tc>
      </w:tr>
      <w:tr w:rsidR="00835AD6" w:rsidRPr="00736092" w14:paraId="47B3957F" w14:textId="77777777" w:rsidTr="00835AD6">
        <w:trPr>
          <w:trHeight w:val="284"/>
          <w:jc w:val="center"/>
        </w:trPr>
        <w:tc>
          <w:tcPr>
            <w:tcW w:w="2160" w:type="dxa"/>
            <w:vAlign w:val="center"/>
          </w:tcPr>
          <w:p w14:paraId="47B3957C" w14:textId="77777777" w:rsidR="00835AD6" w:rsidRPr="001E13A6" w:rsidRDefault="00835AD6" w:rsidP="00835AD6">
            <w:pPr>
              <w:keepNext/>
              <w:keepLines/>
              <w:spacing w:after="160"/>
              <w:ind w:left="567"/>
              <w:jc w:val="center"/>
            </w:pPr>
            <w:r w:rsidRPr="001E13A6">
              <w:t xml:space="preserve">40 </w:t>
            </w:r>
            <w:r w:rsidRPr="001E13A6">
              <w:rPr>
                <w:rFonts w:ascii="Garamond" w:hAnsi="Garamond"/>
              </w:rPr>
              <w:t>µm</w:t>
            </w:r>
          </w:p>
        </w:tc>
        <w:tc>
          <w:tcPr>
            <w:tcW w:w="2292" w:type="dxa"/>
            <w:vMerge/>
          </w:tcPr>
          <w:p w14:paraId="47B3957D" w14:textId="77777777" w:rsidR="00835AD6" w:rsidRPr="00736092" w:rsidRDefault="00835AD6" w:rsidP="00835AD6">
            <w:pPr>
              <w:keepNext/>
              <w:keepLines/>
              <w:spacing w:after="160"/>
              <w:ind w:left="567"/>
              <w:jc w:val="both"/>
            </w:pPr>
          </w:p>
        </w:tc>
        <w:tc>
          <w:tcPr>
            <w:tcW w:w="2292" w:type="dxa"/>
            <w:vMerge/>
          </w:tcPr>
          <w:p w14:paraId="47B3957E" w14:textId="77777777" w:rsidR="00835AD6" w:rsidRPr="00736092" w:rsidRDefault="00835AD6" w:rsidP="00835AD6">
            <w:pPr>
              <w:keepNext/>
              <w:keepLines/>
              <w:spacing w:after="160"/>
              <w:ind w:left="567"/>
              <w:jc w:val="both"/>
            </w:pPr>
          </w:p>
        </w:tc>
      </w:tr>
      <w:tr w:rsidR="00835AD6" w:rsidRPr="00736092" w14:paraId="47B39583" w14:textId="77777777" w:rsidTr="00835AD6">
        <w:trPr>
          <w:trHeight w:val="284"/>
          <w:jc w:val="center"/>
        </w:trPr>
        <w:tc>
          <w:tcPr>
            <w:tcW w:w="2160" w:type="dxa"/>
            <w:tcBorders>
              <w:bottom w:val="single" w:sz="12" w:space="0" w:color="000000"/>
            </w:tcBorders>
            <w:vAlign w:val="center"/>
          </w:tcPr>
          <w:p w14:paraId="47B39580" w14:textId="77777777" w:rsidR="00835AD6" w:rsidRPr="001E13A6" w:rsidRDefault="00835AD6" w:rsidP="00835AD6">
            <w:pPr>
              <w:keepNext/>
              <w:keepLines/>
              <w:spacing w:after="160"/>
              <w:ind w:left="567"/>
              <w:jc w:val="center"/>
            </w:pPr>
            <w:r w:rsidRPr="001E13A6">
              <w:t xml:space="preserve">50 </w:t>
            </w:r>
            <w:r w:rsidRPr="001E13A6">
              <w:rPr>
                <w:rFonts w:ascii="Garamond" w:hAnsi="Garamond"/>
              </w:rPr>
              <w:t>µm</w:t>
            </w:r>
          </w:p>
        </w:tc>
        <w:tc>
          <w:tcPr>
            <w:tcW w:w="2292" w:type="dxa"/>
            <w:vMerge/>
            <w:tcBorders>
              <w:bottom w:val="single" w:sz="12" w:space="0" w:color="000000"/>
            </w:tcBorders>
          </w:tcPr>
          <w:p w14:paraId="47B39581" w14:textId="77777777" w:rsidR="00835AD6" w:rsidRPr="00736092" w:rsidRDefault="00835AD6" w:rsidP="00835AD6">
            <w:pPr>
              <w:keepNext/>
              <w:keepLines/>
              <w:spacing w:after="160"/>
              <w:ind w:left="567"/>
              <w:jc w:val="both"/>
            </w:pPr>
          </w:p>
        </w:tc>
        <w:tc>
          <w:tcPr>
            <w:tcW w:w="2292" w:type="dxa"/>
            <w:vMerge/>
            <w:tcBorders>
              <w:bottom w:val="single" w:sz="12" w:space="0" w:color="000000"/>
            </w:tcBorders>
          </w:tcPr>
          <w:p w14:paraId="47B39582" w14:textId="77777777" w:rsidR="00835AD6" w:rsidRPr="00736092" w:rsidRDefault="00835AD6" w:rsidP="00835AD6">
            <w:pPr>
              <w:keepNext/>
              <w:keepLines/>
              <w:spacing w:after="160"/>
              <w:ind w:left="567"/>
              <w:jc w:val="both"/>
            </w:pPr>
          </w:p>
        </w:tc>
      </w:tr>
    </w:tbl>
    <w:p w14:paraId="47B39584" w14:textId="77777777" w:rsidR="00835AD6" w:rsidRDefault="00835AD6" w:rsidP="00835AD6">
      <w:pPr>
        <w:keepNext/>
        <w:keepLines/>
        <w:spacing w:after="160"/>
        <w:jc w:val="both"/>
      </w:pPr>
    </w:p>
    <w:p w14:paraId="47B39585" w14:textId="77777777" w:rsidR="000638FD" w:rsidRPr="00995930" w:rsidRDefault="00E22FAE">
      <w:pPr>
        <w:keepNext/>
        <w:keepLines/>
        <w:numPr>
          <w:ilvl w:val="0"/>
          <w:numId w:val="1"/>
        </w:numPr>
        <w:spacing w:after="160"/>
        <w:rPr>
          <w:b/>
          <w:sz w:val="24"/>
        </w:rPr>
      </w:pPr>
      <w:r w:rsidRPr="00995930">
        <w:rPr>
          <w:b/>
          <w:sz w:val="24"/>
        </w:rPr>
        <w:t>Results and Discussion</w:t>
      </w:r>
    </w:p>
    <w:p w14:paraId="47B39586" w14:textId="77777777" w:rsidR="000638FD" w:rsidRDefault="00E22FAE">
      <w:pPr>
        <w:keepNext/>
        <w:keepLines/>
        <w:numPr>
          <w:ilvl w:val="1"/>
          <w:numId w:val="1"/>
        </w:numPr>
        <w:spacing w:after="160"/>
        <w:rPr>
          <w:b/>
        </w:rPr>
      </w:pPr>
      <w:r>
        <w:rPr>
          <w:b/>
        </w:rPr>
        <w:t>The Effect of Various MPL Thickness</w:t>
      </w:r>
    </w:p>
    <w:p w14:paraId="47B39587" w14:textId="356747C2" w:rsidR="00541D0C" w:rsidRDefault="009E1C57" w:rsidP="00750F81">
      <w:pPr>
        <w:keepNext/>
        <w:keepLines/>
        <w:ind w:firstLine="20"/>
        <w:jc w:val="both"/>
      </w:pPr>
      <w:r w:rsidRPr="009E1C57">
        <w:t>Figure 1</w:t>
      </w:r>
      <w:r w:rsidR="00B87D22">
        <w:t>a</w:t>
      </w:r>
      <w:r w:rsidRPr="009E1C57">
        <w:t xml:space="preserve"> illustrates the performance of cells with varying microporous layer (MPL) thicknesses, </w:t>
      </w:r>
      <w:r w:rsidR="00902D58">
        <w:t>precisely</w:t>
      </w:r>
      <w:r w:rsidRPr="009E1C57">
        <w:t xml:space="preserve"> </w:t>
      </w:r>
      <w:r w:rsidR="00902D58">
        <w:t>ten</w:t>
      </w:r>
      <w:r w:rsidRPr="009E1C57">
        <w:t xml:space="preserve"> </w:t>
      </w:r>
      <w:proofErr w:type="spellStart"/>
      <w:r w:rsidRPr="009E1C57">
        <w:t>μm</w:t>
      </w:r>
      <w:proofErr w:type="spellEnd"/>
      <w:r w:rsidRPr="009E1C57">
        <w:t xml:space="preserve">, 30 </w:t>
      </w:r>
      <w:proofErr w:type="spellStart"/>
      <w:r w:rsidRPr="009E1C57">
        <w:t>μm</w:t>
      </w:r>
      <w:proofErr w:type="spellEnd"/>
      <w:r w:rsidRPr="009E1C57">
        <w:t xml:space="preserve">, 40 </w:t>
      </w:r>
      <w:proofErr w:type="spellStart"/>
      <w:r w:rsidRPr="009E1C57">
        <w:t>μm</w:t>
      </w:r>
      <w:proofErr w:type="spellEnd"/>
      <w:r w:rsidRPr="009E1C57">
        <w:t>, and</w:t>
      </w:r>
      <w:r w:rsidR="00B738F4">
        <w:t xml:space="preserve"> 50 </w:t>
      </w:r>
      <w:proofErr w:type="spellStart"/>
      <w:r w:rsidR="00B738F4">
        <w:t>μm</w:t>
      </w:r>
      <w:proofErr w:type="spellEnd"/>
      <w:r w:rsidR="00541D0C">
        <w:t>. T</w:t>
      </w:r>
      <w:r w:rsidRPr="009E1C57">
        <w:t xml:space="preserve">he current densities are 0.292 </w:t>
      </w:r>
      <w:r w:rsidR="00D508C8">
        <w:rPr>
          <w:sz w:val="18"/>
          <w:szCs w:val="18"/>
        </w:rPr>
        <w:t xml:space="preserve">A cm </w:t>
      </w:r>
      <w:r w:rsidR="00D508C8">
        <w:rPr>
          <w:sz w:val="18"/>
          <w:szCs w:val="18"/>
          <w:vertAlign w:val="superscript"/>
        </w:rPr>
        <w:t>-2</w:t>
      </w:r>
      <w:r w:rsidRPr="009E1C57">
        <w:t xml:space="preserve">, 0.324 </w:t>
      </w:r>
      <w:r w:rsidR="00D508C8">
        <w:rPr>
          <w:sz w:val="18"/>
          <w:szCs w:val="18"/>
        </w:rPr>
        <w:t xml:space="preserve">A cm </w:t>
      </w:r>
      <w:r w:rsidR="00D508C8">
        <w:rPr>
          <w:sz w:val="18"/>
          <w:szCs w:val="18"/>
          <w:vertAlign w:val="superscript"/>
        </w:rPr>
        <w:t>-2</w:t>
      </w:r>
      <w:r w:rsidRPr="009E1C57">
        <w:t xml:space="preserve">, 0.336 </w:t>
      </w:r>
      <w:r w:rsidR="00D508C8">
        <w:rPr>
          <w:sz w:val="18"/>
          <w:szCs w:val="18"/>
        </w:rPr>
        <w:t xml:space="preserve">A cm </w:t>
      </w:r>
      <w:r w:rsidR="00D508C8">
        <w:rPr>
          <w:sz w:val="18"/>
          <w:szCs w:val="18"/>
          <w:vertAlign w:val="superscript"/>
        </w:rPr>
        <w:t>-2</w:t>
      </w:r>
      <w:r w:rsidRPr="009E1C57">
        <w:t xml:space="preserve">, and 0.348 </w:t>
      </w:r>
      <w:r w:rsidR="00D508C8">
        <w:rPr>
          <w:sz w:val="18"/>
          <w:szCs w:val="18"/>
        </w:rPr>
        <w:t xml:space="preserve">A cm </w:t>
      </w:r>
      <w:r w:rsidR="00D508C8">
        <w:rPr>
          <w:sz w:val="18"/>
          <w:szCs w:val="18"/>
          <w:vertAlign w:val="superscript"/>
        </w:rPr>
        <w:t>-2</w:t>
      </w:r>
      <w:r w:rsidRPr="009E1C57">
        <w:t xml:space="preserve"> for the respective MPL thicknesses</w:t>
      </w:r>
      <w:r w:rsidR="00541D0C">
        <w:t xml:space="preserve"> at 0.6 voltage. </w:t>
      </w:r>
      <w:r w:rsidRPr="009E1C57">
        <w:t xml:space="preserve">Notably, the 50 </w:t>
      </w:r>
      <w:proofErr w:type="spellStart"/>
      <w:r w:rsidRPr="009E1C57">
        <w:t>μm</w:t>
      </w:r>
      <w:proofErr w:type="spellEnd"/>
      <w:r w:rsidRPr="009E1C57">
        <w:t xml:space="preserve"> MPL exhibits the highest current density of 0.348 </w:t>
      </w:r>
      <w:r w:rsidR="00D508C8">
        <w:rPr>
          <w:sz w:val="18"/>
          <w:szCs w:val="18"/>
        </w:rPr>
        <w:t xml:space="preserve">A cm </w:t>
      </w:r>
      <w:r w:rsidR="00D508C8">
        <w:rPr>
          <w:sz w:val="18"/>
          <w:szCs w:val="18"/>
          <w:vertAlign w:val="superscript"/>
        </w:rPr>
        <w:t>-2</w:t>
      </w:r>
      <w:r w:rsidRPr="009E1C57">
        <w:t xml:space="preserve">, coupled with a maximum power density of 0.5 </w:t>
      </w:r>
      <w:r w:rsidR="00D508C8">
        <w:rPr>
          <w:sz w:val="18"/>
          <w:szCs w:val="18"/>
        </w:rPr>
        <w:t xml:space="preserve">W cm </w:t>
      </w:r>
      <w:r w:rsidR="00D508C8">
        <w:rPr>
          <w:sz w:val="18"/>
          <w:szCs w:val="18"/>
          <w:vertAlign w:val="superscript"/>
        </w:rPr>
        <w:t>-2</w:t>
      </w:r>
      <w:r w:rsidRPr="009E1C57">
        <w:t>. This superior performance can be primarily attributed to the lowest activation loss a</w:t>
      </w:r>
      <w:r w:rsidR="00475C3A">
        <w:t xml:space="preserve">rea observed for the 50 </w:t>
      </w:r>
      <w:proofErr w:type="spellStart"/>
      <w:r w:rsidR="00475C3A">
        <w:t>μm</w:t>
      </w:r>
      <w:proofErr w:type="spellEnd"/>
      <w:r w:rsidR="00475C3A">
        <w:t xml:space="preserve"> MPL. </w:t>
      </w:r>
      <w:r w:rsidRPr="009E1C57">
        <w:t xml:space="preserve">This reduction in activation losses indicates more efficient catalytic activity and improved reaction kinetics, enhancing the </w:t>
      </w:r>
      <w:r w:rsidR="00902D58">
        <w:t>cell's overall performance</w:t>
      </w:r>
      <w:r w:rsidR="00475C3A">
        <w:t xml:space="preserve">. </w:t>
      </w:r>
    </w:p>
    <w:p w14:paraId="47B39588" w14:textId="6F932331" w:rsidR="00475C3A" w:rsidRDefault="00475C3A" w:rsidP="00475C3A">
      <w:pPr>
        <w:jc w:val="both"/>
      </w:pPr>
      <w:r>
        <w:t xml:space="preserve">The results above </w:t>
      </w:r>
      <w:r w:rsidR="006D4682">
        <w:t>correlate</w:t>
      </w:r>
      <w:r>
        <w:t xml:space="preserve"> with the SEM test results </w:t>
      </w:r>
      <w:r w:rsidR="00902D58">
        <w:t>in Figure</w:t>
      </w:r>
      <w:r>
        <w:t xml:space="preserve"> 2. </w:t>
      </w:r>
      <w:r w:rsidRPr="00541D0C">
        <w:t xml:space="preserve">The even coverage of the carbon paper likely increases the ECSA by maximizing the utilization of the available surface area for electrochemical reactions. This, in turn, improves the </w:t>
      </w:r>
      <w:r w:rsidR="00902D58">
        <w:t>cell's overall performance</w:t>
      </w:r>
      <w:r w:rsidRPr="00541D0C">
        <w:t xml:space="preserve"> by increasing the number of active sites, enhancing catalyst utilization, improving reaction kinetics, and ensuring better mass transport and reduced local resistance. These factors collectively contribute to the higher current density and power density observe</w:t>
      </w:r>
      <w:r>
        <w:t>d in the cell</w:t>
      </w:r>
      <w:r w:rsidR="00902D58">
        <w:t>.</w:t>
      </w:r>
    </w:p>
    <w:p w14:paraId="47B39589" w14:textId="7AB9F3E0" w:rsidR="00541D0C" w:rsidRDefault="00B87D22" w:rsidP="00750F81">
      <w:pPr>
        <w:jc w:val="both"/>
      </w:pPr>
      <w:r>
        <w:t>Figure 1b</w:t>
      </w:r>
      <w:r w:rsidR="00B738F4" w:rsidRPr="00B738F4">
        <w:t xml:space="preserve"> presents the Nyquist plots derived from Electrochemical Impedance Spectroscopy (EIS) measurements, providing insights into the </w:t>
      </w:r>
      <w:r w:rsidR="00902D58">
        <w:t>cells' ohmic and charge transfer resistances</w:t>
      </w:r>
      <w:r w:rsidR="00B738F4" w:rsidRPr="00B738F4">
        <w:t xml:space="preserve">. The ohmic resistances are 0.10202 </w:t>
      </w:r>
      <w:r w:rsidR="006D4682">
        <w:t>Ω</w:t>
      </w:r>
      <w:r w:rsidR="00B738F4" w:rsidRPr="00B738F4">
        <w:t xml:space="preserve">.cm², 0.095 </w:t>
      </w:r>
      <w:r w:rsidR="006D4682">
        <w:t>Ω</w:t>
      </w:r>
      <w:r w:rsidR="00B738F4" w:rsidRPr="00B738F4">
        <w:t xml:space="preserve">.cm², 0.0901 </w:t>
      </w:r>
      <w:r w:rsidR="006D4682">
        <w:t>Ω</w:t>
      </w:r>
      <w:r w:rsidR="00B738F4" w:rsidRPr="00B738F4">
        <w:t xml:space="preserve">.cm², and 0.0846 </w:t>
      </w:r>
      <w:r w:rsidR="006D4682">
        <w:t>Ω</w:t>
      </w:r>
      <w:r w:rsidR="00B738F4" w:rsidRPr="00B738F4">
        <w:t xml:space="preserve">.cm² for the MPL thicknesses of 10 </w:t>
      </w:r>
      <w:proofErr w:type="spellStart"/>
      <w:r w:rsidR="00B738F4" w:rsidRPr="00B738F4">
        <w:t>μm</w:t>
      </w:r>
      <w:proofErr w:type="spellEnd"/>
      <w:r w:rsidR="00B738F4" w:rsidRPr="00B738F4">
        <w:t xml:space="preserve">, 30 </w:t>
      </w:r>
      <w:proofErr w:type="spellStart"/>
      <w:r w:rsidR="00B738F4" w:rsidRPr="00B738F4">
        <w:t>μm</w:t>
      </w:r>
      <w:proofErr w:type="spellEnd"/>
      <w:r w:rsidR="00B738F4" w:rsidRPr="00B738F4">
        <w:t xml:space="preserve">, 40 </w:t>
      </w:r>
      <w:proofErr w:type="spellStart"/>
      <w:r w:rsidR="00B738F4" w:rsidRPr="00B738F4">
        <w:t>μm</w:t>
      </w:r>
      <w:proofErr w:type="spellEnd"/>
      <w:r w:rsidR="00B738F4" w:rsidRPr="00B738F4">
        <w:t xml:space="preserve">, and 50 </w:t>
      </w:r>
      <w:proofErr w:type="spellStart"/>
      <w:r w:rsidR="00B738F4" w:rsidRPr="00B738F4">
        <w:t>μm</w:t>
      </w:r>
      <w:proofErr w:type="spellEnd"/>
      <w:r w:rsidR="00B738F4" w:rsidRPr="00B738F4">
        <w:t xml:space="preserve">, respectively. Similarly, the charge transfer resistances are 0.538 </w:t>
      </w:r>
      <w:r w:rsidR="006D4682">
        <w:t>Ω</w:t>
      </w:r>
      <w:r w:rsidR="00B738F4" w:rsidRPr="00B738F4">
        <w:t xml:space="preserve">.cm², 0.440 ohm.cm², 0.506 </w:t>
      </w:r>
      <w:r w:rsidR="006D4682">
        <w:t>Ω</w:t>
      </w:r>
      <w:r w:rsidR="00B738F4" w:rsidRPr="00B738F4">
        <w:t xml:space="preserve">.cm², and 0.515 </w:t>
      </w:r>
      <w:r w:rsidR="006D4682">
        <w:t>Ω</w:t>
      </w:r>
      <w:r w:rsidR="00B738F4" w:rsidRPr="00B738F4">
        <w:t xml:space="preserve">.cm² for the respective MPL thicknesses. While the 50 </w:t>
      </w:r>
      <w:proofErr w:type="spellStart"/>
      <w:r w:rsidR="00B738F4" w:rsidRPr="00B738F4">
        <w:t>μm</w:t>
      </w:r>
      <w:proofErr w:type="spellEnd"/>
      <w:r w:rsidR="00B738F4" w:rsidRPr="00B738F4">
        <w:t xml:space="preserve"> MPL demonstrates the lowest ohmic resistance, signifying minimal losses due to ionic transport, it exhibits a relatively high charge transfer resistance. This paradox may be due to a complex interplay between the thickness of the MPL and the resultant porosity and catalyst utilization. While a thicker MPL reduces ohmic losses by enhancing ionic conductivity, it may also lead to </w:t>
      </w:r>
      <w:r w:rsidR="006D4682">
        <w:t xml:space="preserve">a </w:t>
      </w:r>
      <w:r w:rsidR="00B738F4" w:rsidRPr="00B738F4">
        <w:t>suboptimal pore structure that impedes efficient charge transfer, thereby increasing the charge transfer resistance.</w:t>
      </w:r>
      <w:r w:rsidR="00541D0C" w:rsidRPr="00541D0C">
        <w:t xml:space="preserve"> </w:t>
      </w:r>
    </w:p>
    <w:p w14:paraId="747C88E4" w14:textId="77777777" w:rsidR="00AA0304" w:rsidRDefault="00AA0304" w:rsidP="00272517">
      <w:pPr>
        <w:jc w:val="both"/>
      </w:pPr>
    </w:p>
    <w:p w14:paraId="573D889F" w14:textId="77777777" w:rsidR="00AA0304" w:rsidRDefault="00AA0304" w:rsidP="00272517">
      <w:pPr>
        <w:jc w:val="both"/>
      </w:pPr>
    </w:p>
    <w:tbl>
      <w:tblPr>
        <w:tblStyle w:val="a1"/>
        <w:tblW w:w="0" w:type="auto"/>
        <w:tblLook w:val="04A0" w:firstRow="1" w:lastRow="0" w:firstColumn="1" w:lastColumn="0" w:noHBand="0" w:noVBand="1"/>
      </w:tblPr>
      <w:tblGrid>
        <w:gridCol w:w="3457"/>
        <w:gridCol w:w="3457"/>
      </w:tblGrid>
      <w:tr w:rsidR="00D4772F" w14:paraId="2B708364" w14:textId="77777777" w:rsidTr="00425B26">
        <w:tc>
          <w:tcPr>
            <w:tcW w:w="6914" w:type="dxa"/>
            <w:gridSpan w:val="2"/>
          </w:tcPr>
          <w:p w14:paraId="55F17709" w14:textId="51B88C12" w:rsidR="00D4772F" w:rsidRDefault="008F2327" w:rsidP="008F2327">
            <w:pPr>
              <w:ind w:left="0" w:hanging="2"/>
              <w:jc w:val="center"/>
            </w:pPr>
            <w:r>
              <w:rPr>
                <w:noProof/>
              </w:rPr>
              <w:lastRenderedPageBreak/>
              <w:drawing>
                <wp:inline distT="0" distB="0" distL="0" distR="0" wp14:anchorId="75E1FCC7" wp14:editId="74D60631">
                  <wp:extent cx="4218940" cy="1487805"/>
                  <wp:effectExtent l="0" t="0" r="0" b="0"/>
                  <wp:docPr id="1242170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940" cy="1487805"/>
                          </a:xfrm>
                          <a:prstGeom prst="rect">
                            <a:avLst/>
                          </a:prstGeom>
                          <a:noFill/>
                        </pic:spPr>
                      </pic:pic>
                    </a:graphicData>
                  </a:graphic>
                </wp:inline>
              </w:drawing>
            </w:r>
          </w:p>
        </w:tc>
      </w:tr>
      <w:tr w:rsidR="00AA0304" w14:paraId="3F223BBC" w14:textId="77777777" w:rsidTr="00AA0304">
        <w:tc>
          <w:tcPr>
            <w:tcW w:w="3457" w:type="dxa"/>
          </w:tcPr>
          <w:p w14:paraId="166D551E" w14:textId="484302A9" w:rsidR="00AA0304" w:rsidRPr="00AA0304" w:rsidRDefault="00AA0304" w:rsidP="00AA0304">
            <w:pPr>
              <w:ind w:left="0" w:hanging="2"/>
              <w:jc w:val="center"/>
            </w:pPr>
            <w:r w:rsidRPr="00AA0304">
              <w:rPr>
                <w:sz w:val="18"/>
                <w:szCs w:val="18"/>
              </w:rPr>
              <w:t>(a)</w:t>
            </w:r>
          </w:p>
        </w:tc>
        <w:tc>
          <w:tcPr>
            <w:tcW w:w="3457" w:type="dxa"/>
          </w:tcPr>
          <w:p w14:paraId="7B6725CE" w14:textId="4875C9E7" w:rsidR="00AA0304" w:rsidRPr="00AA0304" w:rsidRDefault="00AA0304" w:rsidP="00AA0304">
            <w:pPr>
              <w:ind w:left="0" w:hanging="2"/>
              <w:jc w:val="center"/>
            </w:pPr>
            <w:r w:rsidRPr="00AA0304">
              <w:rPr>
                <w:sz w:val="18"/>
                <w:szCs w:val="18"/>
              </w:rPr>
              <w:t>(b)</w:t>
            </w:r>
          </w:p>
        </w:tc>
      </w:tr>
    </w:tbl>
    <w:p w14:paraId="47B3958B" w14:textId="77777777" w:rsidR="00541D0C" w:rsidRPr="00BA6B54" w:rsidRDefault="006040B1" w:rsidP="00AA0304">
      <w:pPr>
        <w:keepLines/>
        <w:spacing w:before="120" w:after="240"/>
        <w:jc w:val="center"/>
        <w:rPr>
          <w:szCs w:val="18"/>
        </w:rPr>
      </w:pPr>
      <w:r>
        <w:rPr>
          <w:b/>
          <w:sz w:val="18"/>
          <w:szCs w:val="18"/>
        </w:rPr>
        <w:t xml:space="preserve">Fig. </w:t>
      </w:r>
      <w:r w:rsidR="00647171">
        <w:rPr>
          <w:b/>
          <w:sz w:val="18"/>
          <w:szCs w:val="18"/>
        </w:rPr>
        <w:t>1</w:t>
      </w:r>
      <w:r w:rsidRPr="00D95D0A">
        <w:rPr>
          <w:b/>
          <w:sz w:val="18"/>
          <w:szCs w:val="18"/>
        </w:rPr>
        <w:t>.</w:t>
      </w:r>
      <w:r w:rsidRPr="00D95D0A">
        <w:rPr>
          <w:sz w:val="18"/>
          <w:szCs w:val="18"/>
        </w:rPr>
        <w:t xml:space="preserve"> </w:t>
      </w:r>
      <w:r w:rsidR="00D95D0A" w:rsidRPr="00D95D0A">
        <w:rPr>
          <w:sz w:val="18"/>
          <w:szCs w:val="18"/>
        </w:rPr>
        <w:t xml:space="preserve">(a) </w:t>
      </w:r>
      <w:r w:rsidR="0039318E">
        <w:rPr>
          <w:sz w:val="18"/>
          <w:szCs w:val="18"/>
        </w:rPr>
        <w:t xml:space="preserve">Performance curve </w:t>
      </w:r>
      <w:r w:rsidR="00D95D0A">
        <w:rPr>
          <w:sz w:val="18"/>
          <w:szCs w:val="18"/>
        </w:rPr>
        <w:t xml:space="preserve">and (b) </w:t>
      </w:r>
      <w:r w:rsidRPr="00D95D0A">
        <w:rPr>
          <w:sz w:val="18"/>
          <w:szCs w:val="18"/>
        </w:rPr>
        <w:t>Nyquist plots of 5%PTFE under various microporous layer thickness</w:t>
      </w:r>
    </w:p>
    <w:p w14:paraId="47B3958C" w14:textId="77777777" w:rsidR="00896418" w:rsidRDefault="00AA09F3" w:rsidP="00541D0C">
      <w:pPr>
        <w:jc w:val="center"/>
      </w:pPr>
      <w:r>
        <w:rPr>
          <w:noProof/>
        </w:rPr>
        <w:drawing>
          <wp:inline distT="0" distB="0" distL="0" distR="0" wp14:anchorId="47B395A6" wp14:editId="47B395A7">
            <wp:extent cx="2514600" cy="147846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0289" cy="1517088"/>
                    </a:xfrm>
                    <a:prstGeom prst="rect">
                      <a:avLst/>
                    </a:prstGeom>
                    <a:noFill/>
                  </pic:spPr>
                </pic:pic>
              </a:graphicData>
            </a:graphic>
          </wp:inline>
        </w:drawing>
      </w:r>
    </w:p>
    <w:p w14:paraId="47B3958D" w14:textId="4EA153C3" w:rsidR="00541D0C" w:rsidRPr="00D95D0A" w:rsidRDefault="00647171" w:rsidP="00BA6B54">
      <w:pPr>
        <w:keepLines/>
        <w:spacing w:before="120" w:after="240"/>
        <w:jc w:val="center"/>
        <w:rPr>
          <w:sz w:val="18"/>
          <w:szCs w:val="18"/>
        </w:rPr>
      </w:pPr>
      <w:r>
        <w:rPr>
          <w:b/>
          <w:sz w:val="18"/>
          <w:szCs w:val="18"/>
        </w:rPr>
        <w:t>Fig. 2</w:t>
      </w:r>
      <w:r w:rsidR="00BA6B54" w:rsidRPr="00D95D0A">
        <w:rPr>
          <w:b/>
          <w:sz w:val="18"/>
          <w:szCs w:val="18"/>
        </w:rPr>
        <w:t>.</w:t>
      </w:r>
      <w:r w:rsidR="00BA6B54" w:rsidRPr="00D95D0A">
        <w:rPr>
          <w:sz w:val="18"/>
          <w:szCs w:val="18"/>
        </w:rPr>
        <w:t xml:space="preserve"> </w:t>
      </w:r>
      <w:r w:rsidR="00D95D0A">
        <w:rPr>
          <w:sz w:val="18"/>
          <w:szCs w:val="18"/>
        </w:rPr>
        <w:t xml:space="preserve">SEM images </w:t>
      </w:r>
      <w:r w:rsidR="006D4682">
        <w:rPr>
          <w:sz w:val="18"/>
          <w:szCs w:val="18"/>
        </w:rPr>
        <w:t xml:space="preserve">of </w:t>
      </w:r>
      <w:r w:rsidR="00D95D0A">
        <w:rPr>
          <w:sz w:val="18"/>
          <w:szCs w:val="18"/>
        </w:rPr>
        <w:t xml:space="preserve">microporous layer surface of (a) 10 </w:t>
      </w:r>
      <w:r w:rsidR="00D95D0A">
        <w:rPr>
          <w:rFonts w:ascii="Garamond" w:hAnsi="Garamond"/>
          <w:sz w:val="18"/>
          <w:szCs w:val="18"/>
        </w:rPr>
        <w:t>µ</w:t>
      </w:r>
      <w:r w:rsidR="00D95D0A">
        <w:rPr>
          <w:sz w:val="18"/>
          <w:szCs w:val="18"/>
        </w:rPr>
        <w:t>m</w:t>
      </w:r>
      <w:r w:rsidR="006D4682">
        <w:rPr>
          <w:sz w:val="18"/>
          <w:szCs w:val="18"/>
        </w:rPr>
        <w:t>,</w:t>
      </w:r>
      <w:r w:rsidR="00D95D0A">
        <w:rPr>
          <w:sz w:val="18"/>
          <w:szCs w:val="18"/>
        </w:rPr>
        <w:t xml:space="preserve"> (b) 20 </w:t>
      </w:r>
      <w:r w:rsidR="00D95D0A">
        <w:rPr>
          <w:rFonts w:ascii="Garamond" w:hAnsi="Garamond"/>
          <w:sz w:val="18"/>
          <w:szCs w:val="18"/>
        </w:rPr>
        <w:t>µ</w:t>
      </w:r>
      <w:r w:rsidR="00D95D0A">
        <w:rPr>
          <w:sz w:val="18"/>
          <w:szCs w:val="18"/>
        </w:rPr>
        <w:t>m</w:t>
      </w:r>
      <w:r w:rsidR="006D4682">
        <w:rPr>
          <w:sz w:val="18"/>
          <w:szCs w:val="18"/>
        </w:rPr>
        <w:t>,</w:t>
      </w:r>
      <w:r w:rsidR="00D95D0A">
        <w:rPr>
          <w:sz w:val="18"/>
          <w:szCs w:val="18"/>
        </w:rPr>
        <w:t xml:space="preserve"> (c) 40 </w:t>
      </w:r>
      <w:r w:rsidR="00D95D0A">
        <w:rPr>
          <w:rFonts w:ascii="Garamond" w:hAnsi="Garamond"/>
          <w:sz w:val="18"/>
          <w:szCs w:val="18"/>
        </w:rPr>
        <w:t>µ</w:t>
      </w:r>
      <w:r w:rsidR="00D95D0A">
        <w:rPr>
          <w:sz w:val="18"/>
          <w:szCs w:val="18"/>
        </w:rPr>
        <w:t>m</w:t>
      </w:r>
      <w:r w:rsidR="006D4682">
        <w:rPr>
          <w:sz w:val="18"/>
          <w:szCs w:val="18"/>
        </w:rPr>
        <w:t>,</w:t>
      </w:r>
      <w:r w:rsidR="00D95D0A">
        <w:rPr>
          <w:sz w:val="18"/>
          <w:szCs w:val="18"/>
        </w:rPr>
        <w:t xml:space="preserve"> and 50 </w:t>
      </w:r>
      <w:r w:rsidR="00D95D0A">
        <w:rPr>
          <w:rFonts w:ascii="Garamond" w:hAnsi="Garamond"/>
          <w:sz w:val="18"/>
          <w:szCs w:val="18"/>
        </w:rPr>
        <w:t>µ</w:t>
      </w:r>
      <w:r w:rsidR="00D95D0A">
        <w:rPr>
          <w:sz w:val="18"/>
          <w:szCs w:val="18"/>
        </w:rPr>
        <w:t>m</w:t>
      </w:r>
    </w:p>
    <w:p w14:paraId="47B3958E" w14:textId="3BA1205F" w:rsidR="00B738F4" w:rsidRDefault="00B738F4" w:rsidP="00B738F4">
      <w:pPr>
        <w:keepNext/>
        <w:keepLines/>
        <w:numPr>
          <w:ilvl w:val="1"/>
          <w:numId w:val="1"/>
        </w:numPr>
        <w:spacing w:after="160"/>
        <w:rPr>
          <w:b/>
        </w:rPr>
      </w:pPr>
      <w:r>
        <w:rPr>
          <w:b/>
        </w:rPr>
        <w:t xml:space="preserve">The Effect of Various PTFE Binder </w:t>
      </w:r>
      <w:r w:rsidR="006D4682">
        <w:rPr>
          <w:b/>
        </w:rPr>
        <w:t>Percentages</w:t>
      </w:r>
    </w:p>
    <w:p w14:paraId="47B3958F" w14:textId="54D4D057" w:rsidR="00B738F4" w:rsidRDefault="00B87D22" w:rsidP="00AA09F3">
      <w:pPr>
        <w:keepLines/>
        <w:jc w:val="both"/>
        <w:rPr>
          <w:szCs w:val="18"/>
        </w:rPr>
      </w:pPr>
      <w:r>
        <w:rPr>
          <w:szCs w:val="18"/>
        </w:rPr>
        <w:t>Figure 3a</w:t>
      </w:r>
      <w:r w:rsidR="001C6AEB" w:rsidRPr="001C6AEB">
        <w:rPr>
          <w:szCs w:val="18"/>
        </w:rPr>
        <w:t xml:space="preserve"> presents the performanc</w:t>
      </w:r>
      <w:r w:rsidR="0039318E">
        <w:rPr>
          <w:szCs w:val="18"/>
        </w:rPr>
        <w:t>e curves of cells under various</w:t>
      </w:r>
      <w:r w:rsidR="001C6AEB" w:rsidRPr="001C6AEB">
        <w:rPr>
          <w:szCs w:val="18"/>
        </w:rPr>
        <w:t xml:space="preserve"> percentages of PTFE binder in the microporous layer (MPL), all at a constant thickness of 50 </w:t>
      </w:r>
      <w:proofErr w:type="spellStart"/>
      <w:r w:rsidR="001C6AEB" w:rsidRPr="001C6AEB">
        <w:rPr>
          <w:szCs w:val="18"/>
        </w:rPr>
        <w:t>μm</w:t>
      </w:r>
      <w:proofErr w:type="spellEnd"/>
      <w:r w:rsidR="001C6AEB" w:rsidRPr="001C6AEB">
        <w:rPr>
          <w:szCs w:val="18"/>
        </w:rPr>
        <w:t xml:space="preserve">. The current densities at 0.6 V are 0.348 </w:t>
      </w:r>
      <w:r w:rsidR="00C10F2F">
        <w:rPr>
          <w:sz w:val="18"/>
          <w:szCs w:val="18"/>
        </w:rPr>
        <w:t xml:space="preserve">A cm </w:t>
      </w:r>
      <w:r w:rsidR="00C10F2F">
        <w:rPr>
          <w:sz w:val="18"/>
          <w:szCs w:val="18"/>
          <w:vertAlign w:val="superscript"/>
        </w:rPr>
        <w:t>-2</w:t>
      </w:r>
      <w:r w:rsidR="001C6AEB" w:rsidRPr="001C6AEB">
        <w:rPr>
          <w:szCs w:val="18"/>
        </w:rPr>
        <w:t xml:space="preserve">, 0.292 </w:t>
      </w:r>
      <w:r w:rsidR="00C10F2F">
        <w:rPr>
          <w:sz w:val="18"/>
          <w:szCs w:val="18"/>
        </w:rPr>
        <w:t xml:space="preserve">A cm </w:t>
      </w:r>
      <w:r w:rsidR="00C10F2F">
        <w:rPr>
          <w:sz w:val="18"/>
          <w:szCs w:val="18"/>
          <w:vertAlign w:val="superscript"/>
        </w:rPr>
        <w:t>-2</w:t>
      </w:r>
      <w:r w:rsidR="001C6AEB" w:rsidRPr="001C6AEB">
        <w:rPr>
          <w:szCs w:val="18"/>
        </w:rPr>
        <w:t xml:space="preserve">, and 0.272 </w:t>
      </w:r>
      <w:r w:rsidR="00C10F2F">
        <w:rPr>
          <w:sz w:val="18"/>
          <w:szCs w:val="18"/>
        </w:rPr>
        <w:t xml:space="preserve">A cm </w:t>
      </w:r>
      <w:r w:rsidR="00C10F2F">
        <w:rPr>
          <w:sz w:val="18"/>
          <w:szCs w:val="18"/>
          <w:vertAlign w:val="superscript"/>
        </w:rPr>
        <w:t>-2</w:t>
      </w:r>
      <w:r w:rsidR="001C6AEB" w:rsidRPr="001C6AEB">
        <w:rPr>
          <w:szCs w:val="18"/>
        </w:rPr>
        <w:t xml:space="preserve"> for MPLs with 5%, 10%, and 20% PTFE, respectively. Among these, the 5% PTFE case exhibits the highest performance, achieving a current density of 0.348 </w:t>
      </w:r>
      <w:r w:rsidR="00C10F2F">
        <w:rPr>
          <w:sz w:val="18"/>
          <w:szCs w:val="18"/>
        </w:rPr>
        <w:t xml:space="preserve">A cm </w:t>
      </w:r>
      <w:r w:rsidR="00C10F2F">
        <w:rPr>
          <w:sz w:val="18"/>
          <w:szCs w:val="18"/>
          <w:vertAlign w:val="superscript"/>
        </w:rPr>
        <w:t>-2</w:t>
      </w:r>
      <w:r w:rsidR="001C6AEB" w:rsidRPr="001C6AEB">
        <w:rPr>
          <w:szCs w:val="18"/>
        </w:rPr>
        <w:t xml:space="preserve"> and a maximum power density of 0.5 </w:t>
      </w:r>
      <w:r w:rsidR="00C10F2F">
        <w:rPr>
          <w:sz w:val="18"/>
          <w:szCs w:val="18"/>
        </w:rPr>
        <w:t xml:space="preserve">W cm </w:t>
      </w:r>
      <w:r w:rsidR="00C10F2F">
        <w:rPr>
          <w:sz w:val="18"/>
          <w:szCs w:val="18"/>
          <w:vertAlign w:val="superscript"/>
        </w:rPr>
        <w:t>-2</w:t>
      </w:r>
      <w:r w:rsidR="001C6AEB" w:rsidRPr="001C6AEB">
        <w:rPr>
          <w:szCs w:val="18"/>
        </w:rPr>
        <w:t>. The superior performance of the 5% PTFE MPL can be attributed to its lowest activation loss area. Activation loss, associated with the energy required to initiate electrochemical reactions, is minimized in the 5% PTFE MPL, indicating more efficient catalytic activity and better kinetics of the electrochemical processes. This reduction in activation loss significantly contributes to the overall enhanced performance of the cell.</w:t>
      </w:r>
    </w:p>
    <w:p w14:paraId="47B39590" w14:textId="7A3C08F5" w:rsidR="00922CE7" w:rsidRDefault="00B87D22" w:rsidP="00AA09F3">
      <w:pPr>
        <w:keepLines/>
        <w:jc w:val="both"/>
        <w:rPr>
          <w:szCs w:val="18"/>
        </w:rPr>
      </w:pPr>
      <w:r>
        <w:rPr>
          <w:szCs w:val="18"/>
        </w:rPr>
        <w:lastRenderedPageBreak/>
        <w:t>Figure 3b</w:t>
      </w:r>
      <w:r w:rsidR="00922CE7" w:rsidRPr="001C6AEB">
        <w:rPr>
          <w:szCs w:val="18"/>
        </w:rPr>
        <w:t xml:space="preserve"> shows the Nyquist plots from the Electrochemical Impedance Spectroscopy (EIS) tests, providing insights into the </w:t>
      </w:r>
      <w:r w:rsidR="006D4682">
        <w:rPr>
          <w:szCs w:val="18"/>
        </w:rPr>
        <w:t>cells' ohmic and charge transfer resistances</w:t>
      </w:r>
      <w:r w:rsidR="00922CE7" w:rsidRPr="001C6AEB">
        <w:rPr>
          <w:szCs w:val="18"/>
        </w:rPr>
        <w:t>.</w:t>
      </w:r>
      <w:r w:rsidR="00922CE7" w:rsidRPr="00922CE7">
        <w:rPr>
          <w:szCs w:val="18"/>
        </w:rPr>
        <w:t xml:space="preserve"> </w:t>
      </w:r>
      <w:r w:rsidR="00922CE7" w:rsidRPr="001C6AEB">
        <w:rPr>
          <w:szCs w:val="18"/>
        </w:rPr>
        <w:t xml:space="preserve">The ohmic resistances are 0.0846 </w:t>
      </w:r>
      <w:r w:rsidR="006D4682">
        <w:rPr>
          <w:szCs w:val="18"/>
        </w:rPr>
        <w:t>Ω</w:t>
      </w:r>
      <w:r w:rsidR="00922CE7" w:rsidRPr="001C6AEB">
        <w:rPr>
          <w:szCs w:val="18"/>
        </w:rPr>
        <w:t xml:space="preserve">.cm², 0.0925 </w:t>
      </w:r>
      <w:r w:rsidR="006D4682">
        <w:rPr>
          <w:szCs w:val="18"/>
        </w:rPr>
        <w:t>Ω</w:t>
      </w:r>
      <w:r w:rsidR="00922CE7" w:rsidRPr="001C6AEB">
        <w:rPr>
          <w:szCs w:val="18"/>
        </w:rPr>
        <w:t xml:space="preserve">.cm², and 0.0988 </w:t>
      </w:r>
      <w:r w:rsidR="006D4682">
        <w:rPr>
          <w:szCs w:val="18"/>
        </w:rPr>
        <w:t>Ω</w:t>
      </w:r>
      <w:r w:rsidR="00922CE7" w:rsidRPr="001C6AEB">
        <w:rPr>
          <w:szCs w:val="18"/>
        </w:rPr>
        <w:t xml:space="preserve">.cm² for the 5%, 10%, and 20% PTFE MPLs, respectively. Similarly, the charge transfer resistances are 0.515 </w:t>
      </w:r>
      <w:r w:rsidR="006D4682">
        <w:rPr>
          <w:szCs w:val="18"/>
        </w:rPr>
        <w:t>Ω</w:t>
      </w:r>
      <w:r w:rsidR="00922CE7" w:rsidRPr="001C6AEB">
        <w:rPr>
          <w:szCs w:val="18"/>
        </w:rPr>
        <w:t xml:space="preserve">.cm², 0.526 </w:t>
      </w:r>
      <w:r w:rsidR="006D4682">
        <w:rPr>
          <w:szCs w:val="18"/>
        </w:rPr>
        <w:t>Ω</w:t>
      </w:r>
      <w:r w:rsidR="00922CE7" w:rsidRPr="001C6AEB">
        <w:rPr>
          <w:szCs w:val="18"/>
        </w:rPr>
        <w:t xml:space="preserve">.cm², and 0.563 </w:t>
      </w:r>
      <w:r w:rsidR="006D4682">
        <w:rPr>
          <w:szCs w:val="18"/>
        </w:rPr>
        <w:t>Ω</w:t>
      </w:r>
      <w:r w:rsidR="00922CE7" w:rsidRPr="001C6AEB">
        <w:rPr>
          <w:szCs w:val="18"/>
        </w:rPr>
        <w:t xml:space="preserve">.cm² for the </w:t>
      </w:r>
      <w:r w:rsidR="006D4682">
        <w:rPr>
          <w:szCs w:val="18"/>
        </w:rPr>
        <w:t>exact</w:t>
      </w:r>
      <w:r w:rsidR="00922CE7" w:rsidRPr="001C6AEB">
        <w:rPr>
          <w:szCs w:val="18"/>
        </w:rPr>
        <w:t xml:space="preserve"> PTFE percentages. The 5% PTFE MPL demonstrates the lowest </w:t>
      </w:r>
      <w:r w:rsidR="006D4682">
        <w:rPr>
          <w:szCs w:val="18"/>
        </w:rPr>
        <w:t>ohmic and charge transfer resistance values</w:t>
      </w:r>
      <w:r w:rsidR="00922CE7" w:rsidRPr="001C6AEB">
        <w:rPr>
          <w:szCs w:val="18"/>
        </w:rPr>
        <w:t>.</w:t>
      </w:r>
      <w:r w:rsidR="0051234B" w:rsidRPr="0051234B">
        <w:rPr>
          <w:szCs w:val="18"/>
        </w:rPr>
        <w:t xml:space="preserve"> </w:t>
      </w:r>
      <w:r w:rsidR="0051234B" w:rsidRPr="001C6AEB">
        <w:rPr>
          <w:szCs w:val="18"/>
        </w:rPr>
        <w:t>The lower resistance in the 5% PTFE MPL can be attributed to an optimal balance between electronic conductivity and structural integrity</w:t>
      </w:r>
      <w:r w:rsidR="0051234B">
        <w:rPr>
          <w:szCs w:val="18"/>
        </w:rPr>
        <w:t>. A lower</w:t>
      </w:r>
    </w:p>
    <w:p w14:paraId="47B39591" w14:textId="21D11523" w:rsidR="001C6AEB" w:rsidRDefault="001C6AEB" w:rsidP="006040B1">
      <w:pPr>
        <w:keepLines/>
        <w:jc w:val="both"/>
        <w:rPr>
          <w:szCs w:val="18"/>
        </w:rPr>
      </w:pPr>
      <w:r w:rsidRPr="001C6AEB">
        <w:rPr>
          <w:szCs w:val="18"/>
        </w:rPr>
        <w:t xml:space="preserve">PTFE content ensures sufficient porosity for effective ion transport and minimizes the insulation effect that higher PTFE content can cause. This balance facilitates efficient charge transfer and reduces overall resistive losses, </w:t>
      </w:r>
      <w:r w:rsidR="006D4682">
        <w:rPr>
          <w:szCs w:val="18"/>
        </w:rPr>
        <w:t>enhancing</w:t>
      </w:r>
      <w:r w:rsidRPr="001C6AEB">
        <w:rPr>
          <w:szCs w:val="18"/>
        </w:rPr>
        <w:t xml:space="preserve"> cell performance</w:t>
      </w:r>
      <w:r w:rsidR="006D4682">
        <w:rPr>
          <w:szCs w:val="18"/>
        </w:rPr>
        <w:t>.</w:t>
      </w:r>
    </w:p>
    <w:p w14:paraId="47B39592" w14:textId="6AC4F44D" w:rsidR="006040B1" w:rsidRDefault="001C6AEB" w:rsidP="006040B1">
      <w:pPr>
        <w:keepLines/>
        <w:jc w:val="both"/>
        <w:rPr>
          <w:szCs w:val="18"/>
        </w:rPr>
      </w:pPr>
      <w:r>
        <w:rPr>
          <w:szCs w:val="18"/>
        </w:rPr>
        <w:t>T</w:t>
      </w:r>
      <w:r w:rsidRPr="001C6AEB">
        <w:rPr>
          <w:szCs w:val="18"/>
        </w:rPr>
        <w:t xml:space="preserve">he percentage of PTFE binder in the MPL significantly impacts the </w:t>
      </w:r>
      <w:r w:rsidR="006D4682">
        <w:rPr>
          <w:szCs w:val="18"/>
        </w:rPr>
        <w:t>cell's performance</w:t>
      </w:r>
      <w:r w:rsidRPr="001C6AEB">
        <w:rPr>
          <w:szCs w:val="18"/>
        </w:rPr>
        <w:t xml:space="preserve">, even when the MPL thickness is constant. The results indicate that increasing the PTFE binder percentage from 5% to 20% leads to </w:t>
      </w:r>
      <w:r w:rsidR="006D4682">
        <w:rPr>
          <w:szCs w:val="18"/>
        </w:rPr>
        <w:t>decreased</w:t>
      </w:r>
      <w:r w:rsidRPr="001C6AEB">
        <w:rPr>
          <w:szCs w:val="18"/>
        </w:rPr>
        <w:t xml:space="preserve"> performance, as evidenced by reduced current and power density. </w:t>
      </w:r>
      <w:r w:rsidR="006D4682">
        <w:rPr>
          <w:szCs w:val="18"/>
        </w:rPr>
        <w:t>Increases in both ohmic and charge transfer resistances accompany this decline in performance</w:t>
      </w:r>
      <w:r w:rsidRPr="001C6AEB">
        <w:rPr>
          <w:szCs w:val="18"/>
        </w:rPr>
        <w:t xml:space="preserve">. Higher PTFE content increases the insulation within the MPL, which hampers ionic conductivity and obstructs effective charge transfer at the electrode-electrolyte interface. Consequently, higher PTFE percentages result in </w:t>
      </w:r>
      <w:r w:rsidR="006D4682">
        <w:rPr>
          <w:szCs w:val="18"/>
        </w:rPr>
        <w:t>more significant</w:t>
      </w:r>
      <w:r w:rsidRPr="001C6AEB">
        <w:rPr>
          <w:szCs w:val="18"/>
        </w:rPr>
        <w:t xml:space="preserve"> resistive losses, thereby diminishing the overall efficie</w:t>
      </w:r>
      <w:r w:rsidR="006040B1">
        <w:rPr>
          <w:szCs w:val="18"/>
        </w:rPr>
        <w:t>ncy and performance of the cell</w:t>
      </w:r>
      <w:r w:rsidR="00C62B0C">
        <w:rPr>
          <w:szCs w:val="18"/>
        </w:rPr>
        <w:t>.</w:t>
      </w:r>
    </w:p>
    <w:p w14:paraId="47B39593" w14:textId="77777777" w:rsidR="006040B1" w:rsidRDefault="006040B1" w:rsidP="006040B1">
      <w:pPr>
        <w:keepLines/>
        <w:jc w:val="both"/>
        <w:rPr>
          <w:szCs w:val="18"/>
        </w:rPr>
      </w:pPr>
    </w:p>
    <w:tbl>
      <w:tblPr>
        <w:tblStyle w:val="a1"/>
        <w:tblW w:w="0" w:type="auto"/>
        <w:tblLook w:val="04A0" w:firstRow="1" w:lastRow="0" w:firstColumn="1" w:lastColumn="0" w:noHBand="0" w:noVBand="1"/>
      </w:tblPr>
      <w:tblGrid>
        <w:gridCol w:w="3458"/>
        <w:gridCol w:w="3466"/>
      </w:tblGrid>
      <w:tr w:rsidR="00C30170" w14:paraId="78CBDE29" w14:textId="77777777" w:rsidTr="00CE7550">
        <w:tc>
          <w:tcPr>
            <w:tcW w:w="6914" w:type="dxa"/>
            <w:gridSpan w:val="2"/>
          </w:tcPr>
          <w:p w14:paraId="2322600F" w14:textId="3B5028B2" w:rsidR="00C30170" w:rsidRDefault="00CE7550" w:rsidP="00CE7550">
            <w:pPr>
              <w:keepLines/>
              <w:ind w:left="0" w:hanging="2"/>
              <w:jc w:val="center"/>
              <w:rPr>
                <w:szCs w:val="18"/>
              </w:rPr>
            </w:pPr>
            <w:r>
              <w:rPr>
                <w:noProof/>
                <w:szCs w:val="18"/>
              </w:rPr>
              <w:drawing>
                <wp:inline distT="0" distB="0" distL="0" distR="0" wp14:anchorId="61D9C716" wp14:editId="7AF8F15B">
                  <wp:extent cx="4285615" cy="1499870"/>
                  <wp:effectExtent l="0" t="0" r="635" b="5080"/>
                  <wp:docPr id="275752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5615" cy="1499870"/>
                          </a:xfrm>
                          <a:prstGeom prst="rect">
                            <a:avLst/>
                          </a:prstGeom>
                          <a:noFill/>
                        </pic:spPr>
                      </pic:pic>
                    </a:graphicData>
                  </a:graphic>
                </wp:inline>
              </w:drawing>
            </w:r>
          </w:p>
        </w:tc>
      </w:tr>
      <w:tr w:rsidR="00C30170" w:rsidRPr="00CE7550" w14:paraId="52FF80A5" w14:textId="77777777" w:rsidTr="00CE7550">
        <w:tc>
          <w:tcPr>
            <w:tcW w:w="3457" w:type="dxa"/>
          </w:tcPr>
          <w:p w14:paraId="4016CC5F" w14:textId="18EB9398" w:rsidR="00C30170" w:rsidRPr="00CE7550" w:rsidRDefault="00CE7550" w:rsidP="00CE7550">
            <w:pPr>
              <w:keepLines/>
              <w:ind w:left="0" w:hanging="2"/>
              <w:jc w:val="center"/>
              <w:rPr>
                <w:szCs w:val="18"/>
              </w:rPr>
            </w:pPr>
            <w:r w:rsidRPr="00CE7550">
              <w:rPr>
                <w:sz w:val="18"/>
                <w:szCs w:val="14"/>
              </w:rPr>
              <w:t>(a)</w:t>
            </w:r>
          </w:p>
        </w:tc>
        <w:tc>
          <w:tcPr>
            <w:tcW w:w="3457" w:type="dxa"/>
          </w:tcPr>
          <w:p w14:paraId="45AB2D8E" w14:textId="014808AD" w:rsidR="00C30170" w:rsidRPr="00CE7550" w:rsidRDefault="00CE7550" w:rsidP="00CE7550">
            <w:pPr>
              <w:keepLines/>
              <w:ind w:left="0" w:hanging="2"/>
              <w:jc w:val="center"/>
              <w:rPr>
                <w:sz w:val="18"/>
                <w:szCs w:val="14"/>
              </w:rPr>
            </w:pPr>
            <w:r w:rsidRPr="00CE7550">
              <w:rPr>
                <w:sz w:val="18"/>
                <w:szCs w:val="14"/>
              </w:rPr>
              <w:t>(b)</w:t>
            </w:r>
          </w:p>
        </w:tc>
      </w:tr>
    </w:tbl>
    <w:p w14:paraId="47B39595" w14:textId="40E6CD77" w:rsidR="00AA09F3" w:rsidRPr="00D95D0A" w:rsidRDefault="00647171" w:rsidP="00CE7550">
      <w:pPr>
        <w:keepLines/>
        <w:spacing w:before="120" w:after="240"/>
        <w:jc w:val="center"/>
        <w:rPr>
          <w:sz w:val="18"/>
          <w:szCs w:val="18"/>
        </w:rPr>
      </w:pPr>
      <w:r>
        <w:rPr>
          <w:b/>
          <w:sz w:val="18"/>
          <w:szCs w:val="18"/>
        </w:rPr>
        <w:t>Fig. 3</w:t>
      </w:r>
      <w:r w:rsidR="00AA09F3" w:rsidRPr="00D95D0A">
        <w:rPr>
          <w:b/>
          <w:sz w:val="18"/>
          <w:szCs w:val="18"/>
        </w:rPr>
        <w:t>.</w:t>
      </w:r>
      <w:r w:rsidR="00AA09F3" w:rsidRPr="00D95D0A">
        <w:rPr>
          <w:sz w:val="18"/>
          <w:szCs w:val="18"/>
        </w:rPr>
        <w:t xml:space="preserve"> </w:t>
      </w:r>
      <w:r w:rsidR="00922CE7">
        <w:rPr>
          <w:sz w:val="18"/>
          <w:szCs w:val="18"/>
        </w:rPr>
        <w:t>(a) Performance curve</w:t>
      </w:r>
      <w:r w:rsidR="00922CE7" w:rsidRPr="00922CE7">
        <w:rPr>
          <w:sz w:val="18"/>
          <w:szCs w:val="18"/>
        </w:rPr>
        <w:t xml:space="preserve"> and (b) Nyquist plots of 5%PTFE under various </w:t>
      </w:r>
      <w:r w:rsidR="00922CE7">
        <w:rPr>
          <w:sz w:val="18"/>
          <w:szCs w:val="18"/>
        </w:rPr>
        <w:t>binder percentage</w:t>
      </w:r>
    </w:p>
    <w:p w14:paraId="47B39596" w14:textId="67E21573" w:rsidR="00922CE7" w:rsidRPr="00995930" w:rsidRDefault="00311933" w:rsidP="00922CE7">
      <w:pPr>
        <w:keepNext/>
        <w:keepLines/>
        <w:numPr>
          <w:ilvl w:val="0"/>
          <w:numId w:val="1"/>
        </w:numPr>
        <w:spacing w:after="160"/>
        <w:rPr>
          <w:b/>
          <w:sz w:val="24"/>
        </w:rPr>
      </w:pPr>
      <w:r>
        <w:rPr>
          <w:b/>
          <w:sz w:val="24"/>
        </w:rPr>
        <w:t>Conclusions</w:t>
      </w:r>
    </w:p>
    <w:p w14:paraId="47B39597" w14:textId="2EB8EFE5" w:rsidR="00AA09F3" w:rsidRPr="006040B1" w:rsidRDefault="00922CE7" w:rsidP="00272517">
      <w:pPr>
        <w:keepLines/>
        <w:jc w:val="both"/>
        <w:rPr>
          <w:szCs w:val="18"/>
        </w:rPr>
      </w:pPr>
      <w:r w:rsidRPr="00922CE7">
        <w:rPr>
          <w:szCs w:val="18"/>
        </w:rPr>
        <w:t xml:space="preserve">The best performance for 5% PTFE is achieved with a 50 µm MPL thickness, showing a current density of 0.348 </w:t>
      </w:r>
      <w:r w:rsidR="00C10F2F">
        <w:rPr>
          <w:sz w:val="18"/>
          <w:szCs w:val="18"/>
        </w:rPr>
        <w:t xml:space="preserve">A cm </w:t>
      </w:r>
      <w:r w:rsidR="00C10F2F">
        <w:rPr>
          <w:sz w:val="18"/>
          <w:szCs w:val="18"/>
          <w:vertAlign w:val="superscript"/>
        </w:rPr>
        <w:t>-2</w:t>
      </w:r>
      <w:r w:rsidRPr="00922CE7">
        <w:rPr>
          <w:szCs w:val="18"/>
        </w:rPr>
        <w:t xml:space="preserve"> and a maximum power density of 0.5 </w:t>
      </w:r>
      <w:r w:rsidR="00C10F2F">
        <w:rPr>
          <w:sz w:val="18"/>
          <w:szCs w:val="18"/>
        </w:rPr>
        <w:t xml:space="preserve">W cm </w:t>
      </w:r>
      <w:r w:rsidR="00C10F2F">
        <w:rPr>
          <w:sz w:val="18"/>
          <w:szCs w:val="18"/>
          <w:vertAlign w:val="superscript"/>
        </w:rPr>
        <w:t>-2</w:t>
      </w:r>
      <w:r>
        <w:rPr>
          <w:szCs w:val="18"/>
        </w:rPr>
        <w:t xml:space="preserve">. </w:t>
      </w:r>
      <w:r w:rsidRPr="00922CE7">
        <w:rPr>
          <w:szCs w:val="18"/>
        </w:rPr>
        <w:t>Despite having a relatively high charge transfer resistance, it has the lowest ohmic resistance among the tested samples, with values of 0.0846 Ω·cm² for ohmic resistance and 0.515 Ω·cm² for charge transfer resistance</w:t>
      </w:r>
      <w:r>
        <w:rPr>
          <w:szCs w:val="18"/>
        </w:rPr>
        <w:t xml:space="preserve">. </w:t>
      </w:r>
      <w:r w:rsidRPr="00922CE7">
        <w:rPr>
          <w:szCs w:val="18"/>
        </w:rPr>
        <w:t>When the MPL thickness is constant, performance decreases with increasing binder composition: a decrease of 19.8% at 10% PTFE and 27% at 20% PTFE.</w:t>
      </w:r>
      <w:r>
        <w:rPr>
          <w:szCs w:val="18"/>
        </w:rPr>
        <w:t xml:space="preserve"> </w:t>
      </w:r>
      <w:r w:rsidRPr="00922CE7">
        <w:rPr>
          <w:szCs w:val="18"/>
        </w:rPr>
        <w:t xml:space="preserve">The EIS test confirms that at a thickness of 50 </w:t>
      </w:r>
      <w:proofErr w:type="spellStart"/>
      <w:r w:rsidRPr="00922CE7">
        <w:rPr>
          <w:szCs w:val="18"/>
        </w:rPr>
        <w:t>μm</w:t>
      </w:r>
      <w:proofErr w:type="spellEnd"/>
      <w:r w:rsidRPr="00922CE7">
        <w:rPr>
          <w:szCs w:val="18"/>
        </w:rPr>
        <w:t xml:space="preserve">, the ohmic resistance is 9.3% and 16.7% higher at 5% PTFE compared to 10% and 20% PTFE, respectively. </w:t>
      </w:r>
      <w:r w:rsidR="006D4682">
        <w:rPr>
          <w:szCs w:val="18"/>
        </w:rPr>
        <w:t xml:space="preserve">The charge transfer resistance is also </w:t>
      </w:r>
      <w:r w:rsidRPr="00922CE7">
        <w:rPr>
          <w:szCs w:val="18"/>
        </w:rPr>
        <w:t>2.1% and 9.2% higher at 5% PTFE compared to 10% and 20% PTFE, respectively.</w:t>
      </w:r>
    </w:p>
    <w:p w14:paraId="47B39599" w14:textId="77777777" w:rsidR="000638FD" w:rsidRPr="00DA4846" w:rsidRDefault="00E22FAE" w:rsidP="0047411F">
      <w:pPr>
        <w:keepNext/>
        <w:keepLines/>
        <w:pBdr>
          <w:top w:val="nil"/>
          <w:left w:val="nil"/>
          <w:bottom w:val="nil"/>
          <w:right w:val="nil"/>
          <w:between w:val="nil"/>
        </w:pBdr>
        <w:spacing w:before="360" w:after="240"/>
        <w:rPr>
          <w:b/>
          <w:color w:val="000000"/>
          <w:sz w:val="24"/>
          <w:szCs w:val="24"/>
        </w:rPr>
      </w:pPr>
      <w:r w:rsidRPr="00DA4846">
        <w:rPr>
          <w:b/>
          <w:color w:val="000000"/>
          <w:sz w:val="24"/>
          <w:szCs w:val="24"/>
        </w:rPr>
        <w:lastRenderedPageBreak/>
        <w:t>References</w:t>
      </w:r>
    </w:p>
    <w:p w14:paraId="5CBFF553" w14:textId="635A74A4" w:rsidR="002A588E" w:rsidRDefault="002A588E" w:rsidP="002A588E">
      <w:pPr>
        <w:numPr>
          <w:ilvl w:val="0"/>
          <w:numId w:val="2"/>
        </w:numPr>
        <w:pBdr>
          <w:top w:val="nil"/>
          <w:left w:val="nil"/>
          <w:bottom w:val="nil"/>
          <w:right w:val="nil"/>
          <w:between w:val="nil"/>
        </w:pBdr>
        <w:jc w:val="both"/>
        <w:rPr>
          <w:color w:val="000000"/>
          <w:sz w:val="18"/>
          <w:szCs w:val="18"/>
        </w:rPr>
      </w:pPr>
      <w:r w:rsidRPr="002A588E">
        <w:rPr>
          <w:color w:val="000000"/>
          <w:sz w:val="18"/>
          <w:szCs w:val="18"/>
        </w:rPr>
        <w:t>Zucconi, A., Hack, J., Stocker, R., Suter, T.A.M., Rettie, A.J.E., Brett, D.J.L.: Challenges and opportunities for characterization of high-temperature polymer electrolyte membrane fuel cells: a review. Journal of Materials Chemistry A, vol. 12, pp. 8014–8064. RSC Publishing (2024).</w:t>
      </w:r>
    </w:p>
    <w:p w14:paraId="10A71C82" w14:textId="08030B44" w:rsidR="00725AB4" w:rsidRDefault="00725AB4" w:rsidP="002A588E">
      <w:pPr>
        <w:numPr>
          <w:ilvl w:val="0"/>
          <w:numId w:val="2"/>
        </w:numPr>
        <w:pBdr>
          <w:top w:val="nil"/>
          <w:left w:val="nil"/>
          <w:bottom w:val="nil"/>
          <w:right w:val="nil"/>
          <w:between w:val="nil"/>
        </w:pBdr>
        <w:jc w:val="both"/>
        <w:rPr>
          <w:color w:val="000000"/>
          <w:sz w:val="18"/>
          <w:szCs w:val="18"/>
        </w:rPr>
      </w:pPr>
      <w:r w:rsidRPr="00725AB4">
        <w:rPr>
          <w:color w:val="000000"/>
          <w:sz w:val="18"/>
          <w:szCs w:val="18"/>
        </w:rPr>
        <w:t>Zucconi, A., Hack, J., Stocker, R., Suter, T.A.M., Rettie, A.J.E., Brett, D.J.L.: Challenges and opportunities for characterization of high-temperature polymer electrolyte membrane fuel cells: a review. Journal of Materials Chemistry A, vol. 12, pp. 8014</w:t>
      </w:r>
      <w:r w:rsidRPr="00725AB4">
        <w:rPr>
          <w:rFonts w:hint="eastAsia"/>
          <w:color w:val="000000"/>
          <w:sz w:val="18"/>
          <w:szCs w:val="18"/>
        </w:rPr>
        <w:t>–</w:t>
      </w:r>
      <w:r w:rsidRPr="00725AB4">
        <w:rPr>
          <w:color w:val="000000"/>
          <w:sz w:val="18"/>
          <w:szCs w:val="18"/>
        </w:rPr>
        <w:t>8064. RSC Publishing, London (2024).</w:t>
      </w:r>
    </w:p>
    <w:p w14:paraId="14C6A463" w14:textId="77777777" w:rsidR="002A588E" w:rsidRDefault="002A588E" w:rsidP="002A588E">
      <w:pPr>
        <w:numPr>
          <w:ilvl w:val="0"/>
          <w:numId w:val="2"/>
        </w:numPr>
        <w:pBdr>
          <w:top w:val="nil"/>
          <w:left w:val="nil"/>
          <w:bottom w:val="nil"/>
          <w:right w:val="nil"/>
          <w:between w:val="nil"/>
        </w:pBdr>
        <w:jc w:val="both"/>
        <w:rPr>
          <w:color w:val="000000"/>
          <w:sz w:val="18"/>
          <w:szCs w:val="18"/>
        </w:rPr>
      </w:pPr>
      <w:r w:rsidRPr="002A588E">
        <w:rPr>
          <w:color w:val="000000"/>
          <w:sz w:val="18"/>
          <w:szCs w:val="18"/>
        </w:rPr>
        <w:t xml:space="preserve">Rosli, R.E., Sulong, A.B., Daud, W.R.W., </w:t>
      </w:r>
      <w:proofErr w:type="spellStart"/>
      <w:r w:rsidRPr="002A588E">
        <w:rPr>
          <w:color w:val="000000"/>
          <w:sz w:val="18"/>
          <w:szCs w:val="18"/>
        </w:rPr>
        <w:t>Zulkifley</w:t>
      </w:r>
      <w:proofErr w:type="spellEnd"/>
      <w:r w:rsidRPr="002A588E">
        <w:rPr>
          <w:color w:val="000000"/>
          <w:sz w:val="18"/>
          <w:szCs w:val="18"/>
        </w:rPr>
        <w:t xml:space="preserve">, M.A., Husaini, T., Rosli, M.I., </w:t>
      </w:r>
      <w:proofErr w:type="spellStart"/>
      <w:r w:rsidRPr="002A588E">
        <w:rPr>
          <w:color w:val="000000"/>
          <w:sz w:val="18"/>
          <w:szCs w:val="18"/>
        </w:rPr>
        <w:t>Majlan</w:t>
      </w:r>
      <w:proofErr w:type="spellEnd"/>
      <w:r w:rsidRPr="002A588E">
        <w:rPr>
          <w:color w:val="000000"/>
          <w:sz w:val="18"/>
          <w:szCs w:val="18"/>
        </w:rPr>
        <w:t>, E.H., Haque, M.A.: A review of high-temperature proton exchange membrane fuel cell (HT-PEMFC) system. International Journal of Hydrogen Energy, vol. 42(14), pp. 9293–9314 (2017).</w:t>
      </w:r>
    </w:p>
    <w:p w14:paraId="595C6371" w14:textId="3C271188" w:rsidR="002A588E" w:rsidRDefault="002A588E" w:rsidP="002A588E">
      <w:pPr>
        <w:numPr>
          <w:ilvl w:val="0"/>
          <w:numId w:val="2"/>
        </w:numPr>
        <w:pBdr>
          <w:top w:val="nil"/>
          <w:left w:val="nil"/>
          <w:bottom w:val="nil"/>
          <w:right w:val="nil"/>
          <w:between w:val="nil"/>
        </w:pBdr>
        <w:jc w:val="both"/>
        <w:rPr>
          <w:color w:val="000000"/>
          <w:sz w:val="18"/>
          <w:szCs w:val="18"/>
        </w:rPr>
      </w:pPr>
      <w:r w:rsidRPr="002A588E">
        <w:rPr>
          <w:color w:val="000000"/>
          <w:sz w:val="18"/>
          <w:szCs w:val="18"/>
        </w:rPr>
        <w:t>Chun, H., Kim, D.-H., Jung, H.-S., Sim, J., Pak, C.: Effects of gas-diffusion layer properties on the performance of the cathode for high-temperature polymer electrolyte membrane fuel cell. International Journal of Energy, vol. 48, issue 71, pp. 27790–27804</w:t>
      </w:r>
      <w:r w:rsidR="0046571D">
        <w:rPr>
          <w:color w:val="000000"/>
          <w:sz w:val="18"/>
          <w:szCs w:val="18"/>
        </w:rPr>
        <w:t xml:space="preserve"> </w:t>
      </w:r>
      <w:r w:rsidRPr="002A588E">
        <w:rPr>
          <w:color w:val="000000"/>
          <w:sz w:val="18"/>
          <w:szCs w:val="18"/>
        </w:rPr>
        <w:t>(2023).</w:t>
      </w:r>
    </w:p>
    <w:p w14:paraId="4F4C0E0D" w14:textId="77777777" w:rsidR="002A588E" w:rsidRDefault="002A588E" w:rsidP="002A588E">
      <w:pPr>
        <w:numPr>
          <w:ilvl w:val="0"/>
          <w:numId w:val="2"/>
        </w:numPr>
        <w:pBdr>
          <w:top w:val="nil"/>
          <w:left w:val="nil"/>
          <w:bottom w:val="nil"/>
          <w:right w:val="nil"/>
          <w:between w:val="nil"/>
        </w:pBdr>
        <w:jc w:val="both"/>
        <w:rPr>
          <w:color w:val="000000"/>
          <w:sz w:val="18"/>
          <w:szCs w:val="18"/>
        </w:rPr>
      </w:pPr>
      <w:r w:rsidRPr="002A588E">
        <w:rPr>
          <w:color w:val="000000"/>
          <w:sz w:val="18"/>
          <w:szCs w:val="18"/>
        </w:rPr>
        <w:t>Su, H., Sita, C., Pasupathi, S.: The effect of gas diffusion layer PTFE content on high-temperature proton exchange membrane fuel cell performance. International Journal of Electrochemical Science, vol. 11, issue 4, pp. 2919–2926 (2016).</w:t>
      </w:r>
    </w:p>
    <w:p w14:paraId="112DC582" w14:textId="12969B1C" w:rsidR="002A588E" w:rsidRDefault="002A588E" w:rsidP="002A588E">
      <w:pPr>
        <w:numPr>
          <w:ilvl w:val="0"/>
          <w:numId w:val="2"/>
        </w:numPr>
        <w:pBdr>
          <w:top w:val="nil"/>
          <w:left w:val="nil"/>
          <w:bottom w:val="nil"/>
          <w:right w:val="nil"/>
          <w:between w:val="nil"/>
        </w:pBdr>
        <w:jc w:val="both"/>
        <w:rPr>
          <w:color w:val="000000"/>
          <w:sz w:val="18"/>
          <w:szCs w:val="18"/>
        </w:rPr>
      </w:pPr>
      <w:r w:rsidRPr="002A588E">
        <w:rPr>
          <w:color w:val="000000"/>
          <w:sz w:val="18"/>
          <w:szCs w:val="18"/>
        </w:rPr>
        <w:t xml:space="preserve">Bevilacqua, N., George, M.G., Galbiati, S., </w:t>
      </w:r>
      <w:proofErr w:type="spellStart"/>
      <w:r w:rsidRPr="002A588E">
        <w:rPr>
          <w:color w:val="000000"/>
          <w:sz w:val="18"/>
          <w:szCs w:val="18"/>
        </w:rPr>
        <w:t>Bazylak</w:t>
      </w:r>
      <w:proofErr w:type="spellEnd"/>
      <w:r w:rsidRPr="002A588E">
        <w:rPr>
          <w:color w:val="000000"/>
          <w:sz w:val="18"/>
          <w:szCs w:val="18"/>
        </w:rPr>
        <w:t xml:space="preserve">, A., Zeis, R.: Phosphoric acid invasion in high-temperature PEM fuel cell gas diffusion layers. </w:t>
      </w:r>
      <w:proofErr w:type="spellStart"/>
      <w:r w:rsidRPr="002A588E">
        <w:rPr>
          <w:color w:val="000000"/>
          <w:sz w:val="18"/>
          <w:szCs w:val="18"/>
        </w:rPr>
        <w:t>Electrochimica</w:t>
      </w:r>
      <w:proofErr w:type="spellEnd"/>
      <w:r w:rsidRPr="002A588E">
        <w:rPr>
          <w:color w:val="000000"/>
          <w:sz w:val="18"/>
          <w:szCs w:val="18"/>
        </w:rPr>
        <w:t xml:space="preserve"> Acta, vol. 257, pp. 89–98 (2017).</w:t>
      </w:r>
    </w:p>
    <w:p w14:paraId="45B61E9E" w14:textId="77777777" w:rsidR="002A588E" w:rsidRDefault="002A588E" w:rsidP="002A588E">
      <w:pPr>
        <w:numPr>
          <w:ilvl w:val="0"/>
          <w:numId w:val="2"/>
        </w:numPr>
        <w:pBdr>
          <w:top w:val="nil"/>
          <w:left w:val="nil"/>
          <w:bottom w:val="nil"/>
          <w:right w:val="nil"/>
          <w:between w:val="nil"/>
        </w:pBdr>
        <w:jc w:val="both"/>
        <w:rPr>
          <w:color w:val="000000"/>
          <w:sz w:val="18"/>
          <w:szCs w:val="18"/>
        </w:rPr>
      </w:pPr>
      <w:r w:rsidRPr="002A588E">
        <w:rPr>
          <w:color w:val="000000"/>
          <w:sz w:val="18"/>
          <w:szCs w:val="18"/>
        </w:rPr>
        <w:t xml:space="preserve">Chevalier, S., Fazeli, M., Mack, F., Galbiati, S., Manke, I., </w:t>
      </w:r>
      <w:proofErr w:type="spellStart"/>
      <w:r w:rsidRPr="002A588E">
        <w:rPr>
          <w:color w:val="000000"/>
          <w:sz w:val="18"/>
          <w:szCs w:val="18"/>
        </w:rPr>
        <w:t>Bazylak</w:t>
      </w:r>
      <w:proofErr w:type="spellEnd"/>
      <w:r w:rsidRPr="002A588E">
        <w:rPr>
          <w:color w:val="000000"/>
          <w:sz w:val="18"/>
          <w:szCs w:val="18"/>
        </w:rPr>
        <w:t xml:space="preserve">, A., Zeis, R.: Role of the microporous layer in the redistribution of phosphoric acid in high-temperature PEM fuel cell gas diffusion electrodes. </w:t>
      </w:r>
      <w:proofErr w:type="spellStart"/>
      <w:r w:rsidRPr="002A588E">
        <w:rPr>
          <w:color w:val="000000"/>
          <w:sz w:val="18"/>
          <w:szCs w:val="18"/>
        </w:rPr>
        <w:t>Electrochimica</w:t>
      </w:r>
      <w:proofErr w:type="spellEnd"/>
      <w:r w:rsidRPr="002A588E">
        <w:rPr>
          <w:color w:val="000000"/>
          <w:sz w:val="18"/>
          <w:szCs w:val="18"/>
        </w:rPr>
        <w:t xml:space="preserve"> Acta, vol. 212, pp. 187–194 (2016)</w:t>
      </w:r>
      <w:r>
        <w:rPr>
          <w:color w:val="000000"/>
          <w:sz w:val="18"/>
          <w:szCs w:val="18"/>
        </w:rPr>
        <w:t>.</w:t>
      </w:r>
    </w:p>
    <w:p w14:paraId="47B395A1" w14:textId="1903E6B3" w:rsidR="00B234C1" w:rsidRDefault="002A588E" w:rsidP="002A588E">
      <w:pPr>
        <w:numPr>
          <w:ilvl w:val="0"/>
          <w:numId w:val="2"/>
        </w:numPr>
        <w:pBdr>
          <w:top w:val="nil"/>
          <w:left w:val="nil"/>
          <w:bottom w:val="nil"/>
          <w:right w:val="nil"/>
          <w:between w:val="nil"/>
        </w:pBdr>
        <w:jc w:val="both"/>
        <w:rPr>
          <w:color w:val="000000"/>
          <w:sz w:val="18"/>
          <w:szCs w:val="18"/>
        </w:rPr>
      </w:pPr>
      <w:r w:rsidRPr="002A588E">
        <w:rPr>
          <w:color w:val="000000"/>
          <w:sz w:val="18"/>
          <w:szCs w:val="18"/>
        </w:rPr>
        <w:t xml:space="preserve">Salimi </w:t>
      </w:r>
      <w:proofErr w:type="spellStart"/>
      <w:r w:rsidRPr="002A588E">
        <w:rPr>
          <w:color w:val="000000"/>
          <w:sz w:val="18"/>
          <w:szCs w:val="18"/>
        </w:rPr>
        <w:t>Nanadegani</w:t>
      </w:r>
      <w:proofErr w:type="spellEnd"/>
      <w:r w:rsidRPr="002A588E">
        <w:rPr>
          <w:color w:val="000000"/>
          <w:sz w:val="18"/>
          <w:szCs w:val="18"/>
        </w:rPr>
        <w:t xml:space="preserve">, S., Nemati Lay, E., Sunden, B.: Computational analysis of the impact of a microporous layer (MPL) on the characteristics of a high-temperature PEMFC. </w:t>
      </w:r>
      <w:proofErr w:type="spellStart"/>
      <w:r w:rsidRPr="002A588E">
        <w:rPr>
          <w:color w:val="000000"/>
          <w:sz w:val="18"/>
          <w:szCs w:val="18"/>
        </w:rPr>
        <w:t>Electrochimica</w:t>
      </w:r>
      <w:proofErr w:type="spellEnd"/>
      <w:r w:rsidRPr="002A588E">
        <w:rPr>
          <w:color w:val="000000"/>
          <w:sz w:val="18"/>
          <w:szCs w:val="18"/>
        </w:rPr>
        <w:t xml:space="preserve"> Acta, vol. 333, pp. 135552 (2020).</w:t>
      </w:r>
    </w:p>
    <w:p w14:paraId="5E37337B" w14:textId="77777777" w:rsidR="00533ABA" w:rsidRDefault="00533ABA" w:rsidP="00533ABA">
      <w:pPr>
        <w:pBdr>
          <w:top w:val="nil"/>
          <w:left w:val="nil"/>
          <w:bottom w:val="nil"/>
          <w:right w:val="nil"/>
          <w:between w:val="nil"/>
        </w:pBdr>
        <w:jc w:val="both"/>
        <w:rPr>
          <w:color w:val="000000"/>
          <w:sz w:val="18"/>
          <w:szCs w:val="18"/>
        </w:rPr>
      </w:pPr>
    </w:p>
    <w:p w14:paraId="62400CEF" w14:textId="77777777" w:rsidR="00533ABA" w:rsidRDefault="00533ABA" w:rsidP="00533ABA">
      <w:pPr>
        <w:pBdr>
          <w:top w:val="nil"/>
          <w:left w:val="nil"/>
          <w:bottom w:val="nil"/>
          <w:right w:val="nil"/>
          <w:between w:val="nil"/>
        </w:pBdr>
        <w:jc w:val="both"/>
        <w:rPr>
          <w:color w:val="000000"/>
          <w:sz w:val="18"/>
          <w:szCs w:val="18"/>
        </w:rPr>
      </w:pPr>
    </w:p>
    <w:p w14:paraId="1A180CAF" w14:textId="77777777" w:rsidR="00533ABA" w:rsidRDefault="00533ABA" w:rsidP="00533ABA">
      <w:pPr>
        <w:pBdr>
          <w:top w:val="nil"/>
          <w:left w:val="nil"/>
          <w:bottom w:val="nil"/>
          <w:right w:val="nil"/>
          <w:between w:val="nil"/>
        </w:pBdr>
        <w:jc w:val="both"/>
        <w:rPr>
          <w:color w:val="000000"/>
          <w:sz w:val="18"/>
          <w:szCs w:val="18"/>
        </w:rPr>
      </w:pPr>
    </w:p>
    <w:p w14:paraId="193DA4AA" w14:textId="12C71021" w:rsidR="00750B29" w:rsidRPr="002A588E" w:rsidRDefault="00750B29" w:rsidP="00533ABA">
      <w:pPr>
        <w:pBdr>
          <w:top w:val="nil"/>
          <w:left w:val="nil"/>
          <w:bottom w:val="nil"/>
          <w:right w:val="nil"/>
          <w:between w:val="nil"/>
        </w:pBdr>
        <w:jc w:val="both"/>
        <w:rPr>
          <w:color w:val="000000"/>
          <w:sz w:val="18"/>
          <w:szCs w:val="18"/>
        </w:rPr>
      </w:pPr>
    </w:p>
    <w:sectPr w:rsidR="00750B29" w:rsidRPr="002A588E" w:rsidSect="00A50A16">
      <w:headerReference w:type="even" r:id="rId12"/>
      <w:headerReference w:type="default" r:id="rId13"/>
      <w:pgSz w:w="11906" w:h="16838"/>
      <w:pgMar w:top="2952" w:right="2491" w:bottom="2952" w:left="2491" w:header="2376" w:footer="23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15D3" w14:textId="77777777" w:rsidR="003665EB" w:rsidRDefault="003665EB">
      <w:r>
        <w:separator/>
      </w:r>
    </w:p>
  </w:endnote>
  <w:endnote w:type="continuationSeparator" w:id="0">
    <w:p w14:paraId="4BBEC376" w14:textId="77777777" w:rsidR="003665EB" w:rsidRDefault="0036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E7E1" w14:textId="77777777" w:rsidR="003665EB" w:rsidRDefault="003665EB">
      <w:r>
        <w:separator/>
      </w:r>
    </w:p>
  </w:footnote>
  <w:footnote w:type="continuationSeparator" w:id="0">
    <w:p w14:paraId="0158EE6B" w14:textId="77777777" w:rsidR="003665EB" w:rsidRDefault="0036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95B0" w14:textId="77777777" w:rsidR="00835AD6" w:rsidRDefault="00835AD6">
    <w:pPr>
      <w:pBdr>
        <w:top w:val="nil"/>
        <w:left w:val="nil"/>
        <w:bottom w:val="nil"/>
        <w:right w:val="nil"/>
        <w:between w:val="nil"/>
      </w:pBdr>
      <w:jc w:val="both"/>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084108">
      <w:rPr>
        <w:noProof/>
        <w:color w:val="000000"/>
        <w:sz w:val="18"/>
        <w:szCs w:val="18"/>
      </w:rPr>
      <w:t>4</w:t>
    </w:r>
    <w:r>
      <w:rPr>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95B1" w14:textId="77777777" w:rsidR="00835AD6" w:rsidRDefault="00835AD6">
    <w:pPr>
      <w:pBdr>
        <w:top w:val="nil"/>
        <w:left w:val="nil"/>
        <w:bottom w:val="nil"/>
        <w:right w:val="nil"/>
        <w:between w:val="nil"/>
      </w:pBdr>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084108">
      <w:rPr>
        <w:noProof/>
        <w:color w:val="000000"/>
        <w:sz w:val="18"/>
        <w:szCs w:val="18"/>
      </w:rPr>
      <w:t>3</w:t>
    </w:r>
    <w:r>
      <w:rPr>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366D"/>
    <w:multiLevelType w:val="multilevel"/>
    <w:tmpl w:val="4D02B820"/>
    <w:lvl w:ilvl="0">
      <w:start w:val="1"/>
      <w:numFmt w:val="decimal"/>
      <w:lvlText w:val="%1"/>
      <w:lvlJc w:val="left"/>
      <w:pPr>
        <w:ind w:left="567" w:hanging="567"/>
      </w:pPr>
      <w:rPr>
        <w:vertAlign w:val="baseline"/>
      </w:rPr>
    </w:lvl>
    <w:lvl w:ilvl="1">
      <w:start w:val="1"/>
      <w:numFmt w:val="decimal"/>
      <w:lvlText w:val="%1.%2"/>
      <w:lvlJc w:val="left"/>
      <w:pPr>
        <w:ind w:left="567" w:hanging="567"/>
      </w:pPr>
      <w:rPr>
        <w:vertAlign w:val="baseline"/>
      </w:rPr>
    </w:lvl>
    <w:lvl w:ilvl="2">
      <w:start w:val="1"/>
      <w:numFmt w:val="decimal"/>
      <w:lvlText w:val="%1.%2.%3"/>
      <w:lvlJc w:val="left"/>
      <w:pPr>
        <w:ind w:left="851" w:hanging="851"/>
      </w:pPr>
      <w:rPr>
        <w:vertAlign w:val="baseline"/>
      </w:rPr>
    </w:lvl>
    <w:lvl w:ilvl="3">
      <w:start w:val="1"/>
      <w:numFmt w:val="decimal"/>
      <w:lvlText w:val="%1.%2.%3.%4"/>
      <w:lvlJc w:val="left"/>
      <w:pPr>
        <w:ind w:left="851" w:hanging="851"/>
      </w:pPr>
      <w:rPr>
        <w:vertAlign w:val="baseline"/>
      </w:rPr>
    </w:lvl>
    <w:lvl w:ilvl="4">
      <w:start w:val="1"/>
      <w:numFmt w:val="decimal"/>
      <w:lvlText w:val="%1.%2.%3.%4.%5"/>
      <w:lvlJc w:val="left"/>
      <w:pPr>
        <w:ind w:left="964" w:hanging="964"/>
      </w:pPr>
      <w:rPr>
        <w:rFonts w:ascii="Times New Roman" w:eastAsia="Times New Roman" w:hAnsi="Times New Roman" w:cs="Times New Roman"/>
        <w:b w:val="0"/>
        <w:i/>
        <w:sz w:val="20"/>
        <w:szCs w:val="20"/>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 w15:restartNumberingAfterBreak="0">
    <w:nsid w:val="126135B2"/>
    <w:multiLevelType w:val="multilevel"/>
    <w:tmpl w:val="59F8EE42"/>
    <w:lvl w:ilvl="0">
      <w:start w:val="1"/>
      <w:numFmt w:val="decimal"/>
      <w:pStyle w:val="bulletitem"/>
      <w:lvlText w:val="%1."/>
      <w:lvlJc w:val="right"/>
      <w:pPr>
        <w:ind w:left="341" w:hanging="113"/>
      </w:pPr>
      <w:rPr>
        <w:vertAlign w:val="baseline"/>
      </w:rPr>
    </w:lvl>
    <w:lvl w:ilvl="1">
      <w:start w:val="1"/>
      <w:numFmt w:val="lowerLetter"/>
      <w:lvlText w:val="%2."/>
      <w:lvlJc w:val="left"/>
      <w:pPr>
        <w:ind w:left="1896" w:hanging="360"/>
      </w:pPr>
      <w:rPr>
        <w:vertAlign w:val="baseline"/>
      </w:rPr>
    </w:lvl>
    <w:lvl w:ilvl="2">
      <w:start w:val="1"/>
      <w:numFmt w:val="lowerRoman"/>
      <w:lvlText w:val="%3."/>
      <w:lvlJc w:val="right"/>
      <w:pPr>
        <w:ind w:left="2616" w:hanging="180"/>
      </w:pPr>
      <w:rPr>
        <w:vertAlign w:val="baseline"/>
      </w:rPr>
    </w:lvl>
    <w:lvl w:ilvl="3">
      <w:start w:val="1"/>
      <w:numFmt w:val="decimal"/>
      <w:lvlText w:val="%4."/>
      <w:lvlJc w:val="left"/>
      <w:pPr>
        <w:ind w:left="3336" w:hanging="360"/>
      </w:pPr>
      <w:rPr>
        <w:vertAlign w:val="baseline"/>
      </w:rPr>
    </w:lvl>
    <w:lvl w:ilvl="4">
      <w:start w:val="1"/>
      <w:numFmt w:val="lowerLetter"/>
      <w:lvlText w:val="%5."/>
      <w:lvlJc w:val="left"/>
      <w:pPr>
        <w:ind w:left="4056" w:hanging="360"/>
      </w:pPr>
      <w:rPr>
        <w:vertAlign w:val="baseline"/>
      </w:rPr>
    </w:lvl>
    <w:lvl w:ilvl="5">
      <w:start w:val="1"/>
      <w:numFmt w:val="lowerRoman"/>
      <w:lvlText w:val="%6."/>
      <w:lvlJc w:val="right"/>
      <w:pPr>
        <w:ind w:left="4776" w:hanging="180"/>
      </w:pPr>
      <w:rPr>
        <w:vertAlign w:val="baseline"/>
      </w:rPr>
    </w:lvl>
    <w:lvl w:ilvl="6">
      <w:start w:val="1"/>
      <w:numFmt w:val="decimal"/>
      <w:lvlText w:val="%7."/>
      <w:lvlJc w:val="left"/>
      <w:pPr>
        <w:ind w:left="5496" w:hanging="360"/>
      </w:pPr>
      <w:rPr>
        <w:vertAlign w:val="baseline"/>
      </w:rPr>
    </w:lvl>
    <w:lvl w:ilvl="7">
      <w:start w:val="1"/>
      <w:numFmt w:val="lowerLetter"/>
      <w:lvlText w:val="%8."/>
      <w:lvlJc w:val="left"/>
      <w:pPr>
        <w:ind w:left="6216" w:hanging="360"/>
      </w:pPr>
      <w:rPr>
        <w:vertAlign w:val="baseline"/>
      </w:rPr>
    </w:lvl>
    <w:lvl w:ilvl="8">
      <w:start w:val="1"/>
      <w:numFmt w:val="lowerRoman"/>
      <w:lvlText w:val="%9."/>
      <w:lvlJc w:val="right"/>
      <w:pPr>
        <w:ind w:left="6936" w:hanging="180"/>
      </w:pPr>
      <w:rPr>
        <w:vertAlign w:val="baseline"/>
      </w:rPr>
    </w:lvl>
  </w:abstractNum>
  <w:abstractNum w:abstractNumId="2" w15:restartNumberingAfterBreak="0">
    <w:nsid w:val="17BA7C4C"/>
    <w:multiLevelType w:val="hybridMultilevel"/>
    <w:tmpl w:val="84226B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B5838B9"/>
    <w:multiLevelType w:val="multilevel"/>
    <w:tmpl w:val="B42C9B86"/>
    <w:lvl w:ilvl="0">
      <w:start w:val="1"/>
      <w:numFmt w:val="decimal"/>
      <w:pStyle w:val="dashitem"/>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93109032">
    <w:abstractNumId w:val="0"/>
  </w:num>
  <w:num w:numId="2" w16cid:durableId="2085714763">
    <w:abstractNumId w:val="1"/>
  </w:num>
  <w:num w:numId="3" w16cid:durableId="777872409">
    <w:abstractNumId w:val="3"/>
  </w:num>
  <w:num w:numId="4" w16cid:durableId="1414929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3421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627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489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373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2056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4869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FD"/>
    <w:rsid w:val="00031F36"/>
    <w:rsid w:val="000427CB"/>
    <w:rsid w:val="00061EBD"/>
    <w:rsid w:val="000638FD"/>
    <w:rsid w:val="00066BA9"/>
    <w:rsid w:val="00084108"/>
    <w:rsid w:val="000A42A5"/>
    <w:rsid w:val="000A6640"/>
    <w:rsid w:val="000B7833"/>
    <w:rsid w:val="001556BD"/>
    <w:rsid w:val="001A36FB"/>
    <w:rsid w:val="001B3662"/>
    <w:rsid w:val="001C6AEB"/>
    <w:rsid w:val="001E0AB2"/>
    <w:rsid w:val="001E13A6"/>
    <w:rsid w:val="001F7255"/>
    <w:rsid w:val="002110F1"/>
    <w:rsid w:val="002458A4"/>
    <w:rsid w:val="00256B50"/>
    <w:rsid w:val="00272517"/>
    <w:rsid w:val="002A588E"/>
    <w:rsid w:val="002B1C78"/>
    <w:rsid w:val="002B5507"/>
    <w:rsid w:val="002C1703"/>
    <w:rsid w:val="002C3A27"/>
    <w:rsid w:val="002F2A08"/>
    <w:rsid w:val="00311933"/>
    <w:rsid w:val="00343C24"/>
    <w:rsid w:val="00352836"/>
    <w:rsid w:val="0035363C"/>
    <w:rsid w:val="003665EB"/>
    <w:rsid w:val="0039318E"/>
    <w:rsid w:val="003D3D7F"/>
    <w:rsid w:val="0044208E"/>
    <w:rsid w:val="0046571D"/>
    <w:rsid w:val="0047411F"/>
    <w:rsid w:val="00475C3A"/>
    <w:rsid w:val="004A4655"/>
    <w:rsid w:val="004C5726"/>
    <w:rsid w:val="004E2062"/>
    <w:rsid w:val="0051234B"/>
    <w:rsid w:val="00512F8B"/>
    <w:rsid w:val="005323F3"/>
    <w:rsid w:val="00533ABA"/>
    <w:rsid w:val="00540658"/>
    <w:rsid w:val="00540F2B"/>
    <w:rsid w:val="00541D0C"/>
    <w:rsid w:val="005515A0"/>
    <w:rsid w:val="005526DA"/>
    <w:rsid w:val="0058527E"/>
    <w:rsid w:val="005A6A2E"/>
    <w:rsid w:val="005D30C4"/>
    <w:rsid w:val="005F51CD"/>
    <w:rsid w:val="006040B1"/>
    <w:rsid w:val="00620C02"/>
    <w:rsid w:val="00624D33"/>
    <w:rsid w:val="00645818"/>
    <w:rsid w:val="00647171"/>
    <w:rsid w:val="00687C82"/>
    <w:rsid w:val="006C34CD"/>
    <w:rsid w:val="006C461B"/>
    <w:rsid w:val="006D4682"/>
    <w:rsid w:val="006E603C"/>
    <w:rsid w:val="00725AB4"/>
    <w:rsid w:val="00736092"/>
    <w:rsid w:val="00750B29"/>
    <w:rsid w:val="00750F81"/>
    <w:rsid w:val="00820DEB"/>
    <w:rsid w:val="00830A2F"/>
    <w:rsid w:val="00835AD6"/>
    <w:rsid w:val="008500AE"/>
    <w:rsid w:val="00863CF7"/>
    <w:rsid w:val="00896418"/>
    <w:rsid w:val="008C6E66"/>
    <w:rsid w:val="008F2327"/>
    <w:rsid w:val="00902D58"/>
    <w:rsid w:val="00922CE7"/>
    <w:rsid w:val="00933BC5"/>
    <w:rsid w:val="00995930"/>
    <w:rsid w:val="009A3180"/>
    <w:rsid w:val="009D34B3"/>
    <w:rsid w:val="009E1C57"/>
    <w:rsid w:val="00A14399"/>
    <w:rsid w:val="00A50A16"/>
    <w:rsid w:val="00A91025"/>
    <w:rsid w:val="00AA0304"/>
    <w:rsid w:val="00AA09F3"/>
    <w:rsid w:val="00AD0D2B"/>
    <w:rsid w:val="00B179BC"/>
    <w:rsid w:val="00B234C1"/>
    <w:rsid w:val="00B55B1A"/>
    <w:rsid w:val="00B738F4"/>
    <w:rsid w:val="00B87D22"/>
    <w:rsid w:val="00BA6B54"/>
    <w:rsid w:val="00BC3334"/>
    <w:rsid w:val="00BD2F03"/>
    <w:rsid w:val="00BE221A"/>
    <w:rsid w:val="00C10F2F"/>
    <w:rsid w:val="00C30170"/>
    <w:rsid w:val="00C62B0C"/>
    <w:rsid w:val="00CA09BB"/>
    <w:rsid w:val="00CE004A"/>
    <w:rsid w:val="00CE7550"/>
    <w:rsid w:val="00CF5E59"/>
    <w:rsid w:val="00D07F94"/>
    <w:rsid w:val="00D169D2"/>
    <w:rsid w:val="00D4772F"/>
    <w:rsid w:val="00D508C8"/>
    <w:rsid w:val="00D7439B"/>
    <w:rsid w:val="00D85CD7"/>
    <w:rsid w:val="00D95D0A"/>
    <w:rsid w:val="00DA3EE4"/>
    <w:rsid w:val="00DA4846"/>
    <w:rsid w:val="00E22FAE"/>
    <w:rsid w:val="00E71DC1"/>
    <w:rsid w:val="00EA519A"/>
    <w:rsid w:val="00EE22D2"/>
    <w:rsid w:val="00F8232E"/>
    <w:rsid w:val="00FB14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3955C"/>
  <w15:docId w15:val="{788805C3-8361-4293-942B-048EB93D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0">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
    <w:name w:val="ปกติ"/>
    <w:pPr>
      <w:suppressAutoHyphens/>
      <w:overflowPunct w:val="0"/>
      <w:autoSpaceDE w:val="0"/>
      <w:autoSpaceDN w:val="0"/>
      <w:adjustRightInd w:val="0"/>
      <w:spacing w:line="240" w:lineRule="atLeast"/>
      <w:ind w:leftChars="-1" w:left="-1" w:hangingChars="1" w:hanging="1"/>
      <w:jc w:val="both"/>
      <w:textDirection w:val="btLr"/>
      <w:textAlignment w:val="baseline"/>
      <w:outlineLvl w:val="0"/>
    </w:pPr>
    <w:rPr>
      <w:position w:val="-1"/>
      <w:lang w:eastAsia="en-US"/>
    </w:rPr>
  </w:style>
  <w:style w:type="paragraph" w:customStyle="1" w:styleId="1">
    <w:name w:val="หัวเรื่อง 1"/>
    <w:basedOn w:val="a"/>
    <w:next w:val="p1a"/>
    <w:qFormat/>
    <w:pPr>
      <w:keepNext/>
      <w:keepLines/>
      <w:suppressAutoHyphens w:val="0"/>
      <w:spacing w:before="360" w:after="240" w:line="300" w:lineRule="atLeast"/>
      <w:ind w:left="567" w:hanging="567"/>
      <w:jc w:val="left"/>
    </w:pPr>
    <w:rPr>
      <w:b/>
      <w:sz w:val="24"/>
    </w:rPr>
  </w:style>
  <w:style w:type="paragraph" w:customStyle="1" w:styleId="2">
    <w:name w:val="หัวเรื่อง 2"/>
    <w:basedOn w:val="a"/>
    <w:next w:val="p1a"/>
    <w:qFormat/>
    <w:pPr>
      <w:keepNext/>
      <w:keepLines/>
      <w:suppressAutoHyphens w:val="0"/>
      <w:spacing w:before="360" w:after="160"/>
      <w:ind w:left="567" w:hanging="567"/>
      <w:jc w:val="left"/>
      <w:outlineLvl w:val="1"/>
    </w:pPr>
    <w:rPr>
      <w:b/>
    </w:rPr>
  </w:style>
  <w:style w:type="paragraph" w:customStyle="1" w:styleId="3">
    <w:name w:val="หัวเรื่อง 3"/>
    <w:basedOn w:val="a"/>
    <w:next w:val="a"/>
    <w:pPr>
      <w:spacing w:before="360"/>
      <w:ind w:firstLine="0"/>
      <w:outlineLvl w:val="2"/>
    </w:pPr>
  </w:style>
  <w:style w:type="paragraph" w:customStyle="1" w:styleId="4">
    <w:name w:val="หัวเรื่อง 4"/>
    <w:basedOn w:val="a"/>
    <w:next w:val="a"/>
    <w:pPr>
      <w:spacing w:before="240"/>
      <w:ind w:firstLine="0"/>
      <w:outlineLvl w:val="3"/>
    </w:pPr>
  </w:style>
  <w:style w:type="character" w:customStyle="1" w:styleId="a0">
    <w:name w:val="ฟอนต์ของย่อหน้าเริ่มต้น"/>
    <w:qFormat/>
    <w:rPr>
      <w:w w:val="100"/>
      <w:position w:val="-1"/>
      <w:effect w:val="none"/>
      <w:vertAlign w:val="baseline"/>
      <w:cs w:val="0"/>
      <w:em w:val="none"/>
    </w:rPr>
  </w:style>
  <w:style w:type="table" w:customStyle="1" w:styleId="a1">
    <w:name w:val="ตารางปกติ"/>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ไม่มีรายการ"/>
    <w:qFormat/>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2"/>
      </w:numPr>
      <w:spacing w:before="160" w:after="160"/>
      <w:ind w:left="-1" w:firstLine="227"/>
      <w:contextualSpacing/>
    </w:pPr>
  </w:style>
  <w:style w:type="paragraph" w:customStyle="1" w:styleId="dashitem">
    <w:name w:val="dashitem"/>
    <w:basedOn w:val="a"/>
    <w:pPr>
      <w:numPr>
        <w:numId w:val="4"/>
      </w:numPr>
      <w:spacing w:before="160" w:after="160"/>
      <w:ind w:left="-1" w:firstLine="227"/>
      <w:contextualSpacing/>
    </w:pPr>
  </w:style>
  <w:style w:type="character" w:customStyle="1" w:styleId="e-mail">
    <w:name w:val="e-mail"/>
    <w:rPr>
      <w:rFonts w:ascii="Courier" w:hAnsi="Courier"/>
      <w:noProof/>
      <w:w w:val="100"/>
      <w:position w:val="-1"/>
      <w:effect w:val="none"/>
      <w:vertAlign w:val="baseline"/>
      <w:cs w:val="0"/>
      <w:em w:val="none"/>
    </w:rPr>
  </w:style>
  <w:style w:type="paragraph" w:customStyle="1" w:styleId="equation">
    <w:name w:val="equation"/>
    <w:basedOn w:val="a"/>
    <w:next w:val="a"/>
    <w:pPr>
      <w:spacing w:before="160" w:after="160"/>
      <w:ind w:firstLine="0"/>
    </w:pPr>
  </w:style>
  <w:style w:type="paragraph" w:customStyle="1" w:styleId="figurecaption">
    <w:name w:val="figurecaption"/>
    <w:basedOn w:val="a"/>
    <w:next w:val="a"/>
    <w:pPr>
      <w:keepLines/>
      <w:spacing w:before="120" w:after="240" w:line="220" w:lineRule="atLeast"/>
      <w:ind w:firstLine="0"/>
      <w:jc w:val="center"/>
    </w:pPr>
    <w:rPr>
      <w:sz w:val="18"/>
    </w:rPr>
  </w:style>
  <w:style w:type="character" w:customStyle="1" w:styleId="a3">
    <w:name w:val="การอ้างอิงเชิงอรรถ"/>
    <w:qFormat/>
    <w:rPr>
      <w:w w:val="100"/>
      <w:position w:val="0"/>
      <w:effect w:val="none"/>
      <w:vertAlign w:val="superscript"/>
      <w:cs w:val="0"/>
      <w:em w:val="none"/>
    </w:rPr>
  </w:style>
  <w:style w:type="paragraph" w:customStyle="1" w:styleId="a4">
    <w:name w:val="ท้ายกระดาษ"/>
    <w:basedOn w:val="a"/>
    <w:qFormat/>
  </w:style>
  <w:style w:type="paragraph" w:customStyle="1" w:styleId="heading10">
    <w:name w:val="heading1"/>
    <w:basedOn w:val="a"/>
    <w:next w:val="p1a"/>
    <w:pPr>
      <w:keepNext/>
      <w:keepLines/>
      <w:tabs>
        <w:tab w:val="num" w:pos="720"/>
      </w:tabs>
      <w:suppressAutoHyphens w:val="0"/>
      <w:spacing w:before="360" w:after="240" w:line="300" w:lineRule="atLeast"/>
      <w:ind w:left="567" w:hanging="567"/>
      <w:jc w:val="left"/>
    </w:pPr>
    <w:rPr>
      <w:b/>
      <w:sz w:val="24"/>
    </w:rPr>
  </w:style>
  <w:style w:type="paragraph" w:customStyle="1" w:styleId="heading2">
    <w:name w:val="heading2"/>
    <w:basedOn w:val="a"/>
    <w:next w:val="p1a"/>
    <w:pPr>
      <w:keepNext/>
      <w:keepLines/>
      <w:numPr>
        <w:ilvl w:val="1"/>
        <w:numId w:val="5"/>
      </w:numPr>
      <w:suppressAutoHyphens w:val="0"/>
      <w:spacing w:before="360" w:after="160"/>
      <w:ind w:left="567" w:hanging="567"/>
      <w:jc w:val="left"/>
      <w:outlineLvl w:val="1"/>
    </w:pPr>
    <w:rPr>
      <w:b/>
    </w:rPr>
  </w:style>
  <w:style w:type="character" w:customStyle="1" w:styleId="heading30">
    <w:name w:val="heading3"/>
    <w:rPr>
      <w:b/>
      <w:w w:val="100"/>
      <w:position w:val="-1"/>
      <w:effect w:val="none"/>
      <w:vertAlign w:val="baseline"/>
      <w:cs w:val="0"/>
      <w:em w:val="none"/>
    </w:rPr>
  </w:style>
  <w:style w:type="character" w:customStyle="1" w:styleId="heading40">
    <w:name w:val="heading4"/>
    <w:rPr>
      <w:i/>
      <w:w w:val="100"/>
      <w:position w:val="-1"/>
      <w:effect w:val="none"/>
      <w:vertAlign w:val="baseline"/>
      <w:cs w:val="0"/>
      <w:em w:val="none"/>
    </w:rPr>
  </w:style>
  <w:style w:type="numbering" w:customStyle="1" w:styleId="headings">
    <w:name w:val="headings"/>
    <w:basedOn w:val="arabnumitem"/>
  </w:style>
  <w:style w:type="character" w:customStyle="1" w:styleId="a5">
    <w:name w:val="ไฮเปอร์ลิงก์"/>
    <w:qFormat/>
    <w:rPr>
      <w:color w:val="auto"/>
      <w:w w:val="100"/>
      <w:position w:val="-1"/>
      <w:u w:val="none"/>
      <w:effect w:val="none"/>
      <w:vertAlign w:val="baseline"/>
      <w:cs w:val="0"/>
      <w:em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style>
  <w:style w:type="numbering" w:customStyle="1" w:styleId="itemization2">
    <w:name w:val="itemization2"/>
    <w:basedOn w:val="a2"/>
  </w:style>
  <w:style w:type="paragraph" w:customStyle="1" w:styleId="keywords">
    <w:name w:val="keywords"/>
    <w:basedOn w:val="abstract"/>
    <w:next w:val="heading10"/>
    <w:pPr>
      <w:spacing w:before="220"/>
      <w:ind w:firstLine="0"/>
      <w:jc w:val="left"/>
    </w:pPr>
  </w:style>
  <w:style w:type="paragraph" w:customStyle="1" w:styleId="a6">
    <w:name w:val="หัวกระดาษ"/>
    <w:basedOn w:val="a"/>
    <w:qFormat/>
    <w:pPr>
      <w:ind w:firstLine="0"/>
    </w:pPr>
    <w:rPr>
      <w:sz w:val="18"/>
      <w:szCs w:val="18"/>
    </w:rPr>
  </w:style>
  <w:style w:type="paragraph" w:customStyle="1" w:styleId="numitem">
    <w:name w:val="numitem"/>
    <w:basedOn w:val="a"/>
    <w:pPr>
      <w:tabs>
        <w:tab w:val="num" w:pos="720"/>
      </w:tabs>
      <w:spacing w:before="160" w:after="160"/>
      <w:contextualSpacing/>
    </w:pPr>
  </w:style>
  <w:style w:type="paragraph" w:customStyle="1" w:styleId="p1a">
    <w:name w:val="p1a"/>
    <w:basedOn w:val="a"/>
    <w:next w:val="a"/>
    <w:pPr>
      <w:ind w:firstLine="0"/>
    </w:pPr>
  </w:style>
  <w:style w:type="paragraph" w:customStyle="1" w:styleId="programcode">
    <w:name w:val="programcode"/>
    <w:basedOn w:val="a"/>
    <w:pPr>
      <w:spacing w:before="160" w:after="160"/>
      <w:ind w:firstLine="0"/>
      <w:contextualSpacing/>
      <w:jc w:val="left"/>
    </w:pPr>
    <w:rPr>
      <w:rFonts w:ascii="Courier" w:hAnsi="Courier"/>
    </w:rPr>
  </w:style>
  <w:style w:type="paragraph" w:customStyle="1" w:styleId="referenceitem">
    <w:name w:val="referenceitem"/>
    <w:basedOn w:val="a"/>
    <w:pPr>
      <w:tabs>
        <w:tab w:val="num" w:pos="720"/>
      </w:tabs>
      <w:spacing w:line="220" w:lineRule="atLeast"/>
    </w:pPr>
    <w:rPr>
      <w:sz w:val="18"/>
    </w:rPr>
  </w:style>
  <w:style w:type="numbering" w:customStyle="1" w:styleId="referencelist">
    <w:name w:val="referencelist"/>
    <w:basedOn w:val="a2"/>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customStyle="1" w:styleId="a7">
    <w:name w:val="หมายเลขหน้า"/>
    <w:qFormat/>
    <w:rPr>
      <w:w w:val="100"/>
      <w:position w:val="-1"/>
      <w:sz w:val="18"/>
      <w:effect w:val="none"/>
      <w:vertAlign w:val="baseline"/>
      <w:cs w:val="0"/>
      <w:em w:val="none"/>
    </w:rPr>
  </w:style>
  <w:style w:type="paragraph" w:customStyle="1" w:styleId="papertitle">
    <w:name w:val="papertitle"/>
    <w:basedOn w:val="a"/>
    <w:next w:val="author"/>
    <w:pPr>
      <w:keepNext/>
      <w:keepLines/>
      <w:suppressAutoHyphens w:val="0"/>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rPr>
      <w:rFonts w:ascii="Courier" w:hAnsi="Courier"/>
      <w:noProof/>
      <w:w w:val="100"/>
      <w:position w:val="-1"/>
      <w:effect w:val="none"/>
      <w:vertAlign w:val="baseline"/>
      <w:cs w:val="0"/>
      <w:em w:val="none"/>
    </w:rPr>
  </w:style>
  <w:style w:type="character" w:customStyle="1" w:styleId="ORCID">
    <w:name w:val="ORCID"/>
    <w:rPr>
      <w:w w:val="100"/>
      <w:position w:val="0"/>
      <w:effect w:val="none"/>
      <w:vertAlign w:val="superscript"/>
      <w:cs w:val="0"/>
      <w:em w:val="none"/>
    </w:rPr>
  </w:style>
  <w:style w:type="paragraph" w:customStyle="1" w:styleId="a8">
    <w:name w:val="ข้อความเชิงอรรถ"/>
    <w:basedOn w:val="a"/>
    <w:pPr>
      <w:spacing w:line="220" w:lineRule="atLeast"/>
      <w:ind w:left="227" w:hanging="227"/>
    </w:pPr>
    <w:rPr>
      <w:sz w:val="18"/>
    </w:rPr>
  </w:style>
  <w:style w:type="paragraph" w:customStyle="1" w:styleId="ReferenceLine">
    <w:name w:val="ReferenceLine"/>
    <w:basedOn w:val="p1a"/>
    <w:qFormat/>
    <w:pPr>
      <w:spacing w:line="200" w:lineRule="atLeast"/>
    </w:pPr>
    <w:rPr>
      <w:sz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70" w:type="dxa"/>
        <w:right w:w="70" w:type="dxa"/>
      </w:tblCellMar>
    </w:tblPr>
  </w:style>
  <w:style w:type="paragraph" w:styleId="ListParagraph">
    <w:name w:val="List Paragraph"/>
    <w:basedOn w:val="Normal"/>
    <w:uiPriority w:val="34"/>
    <w:qFormat/>
    <w:rsid w:val="00624D33"/>
    <w:pPr>
      <w:spacing w:after="160" w:line="25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39"/>
    <w:rsid w:val="00624D33"/>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C3334"/>
    <w:pPr>
      <w:tabs>
        <w:tab w:val="center" w:pos="4320"/>
        <w:tab w:val="right" w:pos="8640"/>
      </w:tabs>
    </w:pPr>
  </w:style>
  <w:style w:type="character" w:customStyle="1" w:styleId="FooterChar">
    <w:name w:val="Footer Char"/>
    <w:basedOn w:val="DefaultParagraphFont"/>
    <w:link w:val="Footer"/>
    <w:uiPriority w:val="99"/>
    <w:rsid w:val="00BC3334"/>
  </w:style>
  <w:style w:type="paragraph" w:styleId="Header">
    <w:name w:val="header"/>
    <w:basedOn w:val="Normal"/>
    <w:link w:val="HeaderChar"/>
    <w:uiPriority w:val="99"/>
    <w:unhideWhenUsed/>
    <w:rsid w:val="00BC3334"/>
    <w:pPr>
      <w:tabs>
        <w:tab w:val="center" w:pos="4320"/>
        <w:tab w:val="right" w:pos="8640"/>
      </w:tabs>
    </w:pPr>
  </w:style>
  <w:style w:type="character" w:customStyle="1" w:styleId="HeaderChar">
    <w:name w:val="Header Char"/>
    <w:basedOn w:val="DefaultParagraphFont"/>
    <w:link w:val="Header"/>
    <w:uiPriority w:val="99"/>
    <w:rsid w:val="00BC3334"/>
  </w:style>
  <w:style w:type="paragraph" w:styleId="NormalWeb">
    <w:name w:val="Normal (Web)"/>
    <w:basedOn w:val="Normal"/>
    <w:uiPriority w:val="99"/>
    <w:semiHidden/>
    <w:unhideWhenUsed/>
    <w:rsid w:val="00BC33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434413">
      <w:bodyDiv w:val="1"/>
      <w:marLeft w:val="0"/>
      <w:marRight w:val="0"/>
      <w:marTop w:val="0"/>
      <w:marBottom w:val="0"/>
      <w:divBdr>
        <w:top w:val="none" w:sz="0" w:space="0" w:color="auto"/>
        <w:left w:val="none" w:sz="0" w:space="0" w:color="auto"/>
        <w:bottom w:val="none" w:sz="0" w:space="0" w:color="auto"/>
        <w:right w:val="none" w:sz="0" w:space="0" w:color="auto"/>
      </w:divBdr>
    </w:div>
    <w:div w:id="948708642">
      <w:bodyDiv w:val="1"/>
      <w:marLeft w:val="0"/>
      <w:marRight w:val="0"/>
      <w:marTop w:val="0"/>
      <w:marBottom w:val="0"/>
      <w:divBdr>
        <w:top w:val="none" w:sz="0" w:space="0" w:color="auto"/>
        <w:left w:val="none" w:sz="0" w:space="0" w:color="auto"/>
        <w:bottom w:val="none" w:sz="0" w:space="0" w:color="auto"/>
        <w:right w:val="none" w:sz="0" w:space="0" w:color="auto"/>
      </w:divBdr>
    </w:div>
    <w:div w:id="1548225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3h8Tcq4NqYqbPgW2PV1lVTfmHQ==">CgMxLjAyCGguZ2pkZ3hzMgloLjMwajB6bGwyCWguMWZvYjl0ZTgAciExejhFUUdoYkMyTU5LbjJBY0pPY3BWTzBLUGFHRXoxSXg=</go:docsCustomData>
</go:gDocsCustomXmlDataStorage>
</file>

<file path=customXml/itemProps1.xml><?xml version="1.0" encoding="utf-8"?>
<ds:datastoreItem xmlns:ds="http://schemas.openxmlformats.org/officeDocument/2006/customXml" ds:itemID="{53BE66F2-B440-4EE6-B482-0E9130201B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2105</Words>
  <Characters>11659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cp:lastModifiedBy>ASNA</cp:lastModifiedBy>
  <cp:revision>16</cp:revision>
  <dcterms:created xsi:type="dcterms:W3CDTF">2024-09-08T13:29:00Z</dcterms:created>
  <dcterms:modified xsi:type="dcterms:W3CDTF">2024-09-16T08:58:00Z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9d4f2cacae2b729248867a6afec7b27530bc62b5deef7fd5c4d3086b398203d1</vt:lpwstr>
  </property>
</Properties>
</file>