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FCE" w:rsidRPr="00EE426C" w:rsidRDefault="00196E40" w:rsidP="00C24DEF">
      <w:pPr>
        <w:pStyle w:val="papertitle"/>
      </w:pPr>
      <w:r w:rsidRPr="00196E40">
        <w:t>Impact of building shading on solar energy potential of rural clusters: a case study of Nanjing, China</w:t>
      </w:r>
    </w:p>
    <w:p w:rsidR="00C24DEF" w:rsidRPr="00EE426C" w:rsidRDefault="00196E40" w:rsidP="00EE426C">
      <w:pPr>
        <w:pStyle w:val="author"/>
      </w:pPr>
      <w:r w:rsidRPr="00196E40">
        <w:t>Jiang Liu</w:t>
      </w:r>
      <w:r w:rsidRPr="00196E40">
        <w:rPr>
          <w:vertAlign w:val="superscript"/>
        </w:rPr>
        <w:t>1</w:t>
      </w:r>
      <w:r w:rsidRPr="00196E40">
        <w:t xml:space="preserve"> and Changhai Peng</w:t>
      </w:r>
      <w:r w:rsidRPr="00196E40">
        <w:rPr>
          <w:vertAlign w:val="superscript"/>
        </w:rPr>
        <w:t>1,2</w:t>
      </w:r>
    </w:p>
    <w:p w:rsidR="00C24DEF" w:rsidRPr="00EE426C" w:rsidRDefault="009B2539" w:rsidP="00EE426C">
      <w:pPr>
        <w:pStyle w:val="address"/>
      </w:pPr>
      <w:r w:rsidRPr="00EE426C">
        <w:rPr>
          <w:vertAlign w:val="superscript"/>
        </w:rPr>
        <w:t>1</w:t>
      </w:r>
      <w:r w:rsidRPr="00EE426C">
        <w:t xml:space="preserve"> </w:t>
      </w:r>
      <w:r w:rsidR="00196E40" w:rsidRPr="00196E40">
        <w:t>School of Architecture, Southeast University, Nanjing, 210096, China</w:t>
      </w:r>
    </w:p>
    <w:p w:rsidR="00C24DEF" w:rsidRPr="006809AE" w:rsidRDefault="009B2539" w:rsidP="006809AE">
      <w:pPr>
        <w:pStyle w:val="address"/>
      </w:pPr>
      <w:r w:rsidRPr="006809AE">
        <w:rPr>
          <w:vertAlign w:val="superscript"/>
        </w:rPr>
        <w:t>2</w:t>
      </w:r>
      <w:r w:rsidRPr="006809AE">
        <w:t xml:space="preserve"> </w:t>
      </w:r>
      <w:r w:rsidR="00196E40" w:rsidRPr="00196E40">
        <w:t>Key Laboratory of Urban and Architectural Heritage Conservation (Southeast University), Ministry of Education, China</w:t>
      </w:r>
      <w:r w:rsidRPr="006809AE">
        <w:br/>
      </w:r>
      <w:r w:rsidR="00196E40" w:rsidRPr="00196E40">
        <w:rPr>
          <w:rStyle w:val="e-mail"/>
        </w:rPr>
        <w:t>liujiang@seu.edu.cn</w:t>
      </w:r>
    </w:p>
    <w:p w:rsidR="00C24DEF" w:rsidRPr="00EE426C" w:rsidRDefault="009B2539" w:rsidP="00196E40">
      <w:pPr>
        <w:pStyle w:val="abstract"/>
        <w:spacing w:after="0"/>
        <w:ind w:firstLine="0"/>
      </w:pPr>
      <w:r w:rsidRPr="00196E40">
        <w:rPr>
          <w:b/>
          <w:bCs/>
        </w:rPr>
        <w:t>Abstract.</w:t>
      </w:r>
      <w:r w:rsidRPr="00EE426C">
        <w:rPr>
          <w:b/>
          <w:bCs/>
        </w:rPr>
        <w:t xml:space="preserve"> </w:t>
      </w:r>
      <w:r w:rsidR="00196E40" w:rsidRPr="00196E40">
        <w:t xml:space="preserve">Rural building clusters have significant prospects for solar energy application. However, the unclear impact of building shading on solar radiation distribution impedes their effective </w:t>
      </w:r>
      <w:r w:rsidR="00505550">
        <w:rPr>
          <w:rFonts w:asciiTheme="minorEastAsia" w:eastAsiaTheme="minorEastAsia" w:hAnsiTheme="minorEastAsia" w:hint="eastAsia"/>
          <w:lang w:eastAsia="zh-CN"/>
        </w:rPr>
        <w:t>u</w:t>
      </w:r>
      <w:r w:rsidR="00505550">
        <w:t>tilization</w:t>
      </w:r>
      <w:r w:rsidR="00196E40" w:rsidRPr="00196E40">
        <w:t xml:space="preserve">. To address this issue, we conducted case studies in three villages with diverse morphologies in Nanjing. Employing a 12.5 m resolution digital elevation model (DEM), 3D building models, and hourly radiation simulation, we investigated the annual accumulated solar irradiance </w:t>
      </w:r>
      <w:r w:rsidR="00E16805">
        <w:t>of</w:t>
      </w:r>
      <w:r w:rsidR="00196E40" w:rsidRPr="00196E40">
        <w:t xml:space="preserve"> these villages</w:t>
      </w:r>
      <w:r w:rsidR="00E16805">
        <w:t xml:space="preserve"> </w:t>
      </w:r>
      <w:r w:rsidR="00196E40" w:rsidRPr="00196E40">
        <w:t xml:space="preserve">with and without building shading. The results showed that the impact of mutual shading is more substantial on facades than on rooftops. Without </w:t>
      </w:r>
      <w:r w:rsidR="00505550">
        <w:t>the</w:t>
      </w:r>
      <w:r w:rsidR="00196E40" w:rsidRPr="00196E40">
        <w:t xml:space="preserve"> shading, the façade annual accumulated solar radiation is 29.8% to 55.5% higher. While for rooftops, this ratio is only 2.9% to 4.7%. For different oriented surfaces, west-facing rooftops and facades are the most sensitive. Neglecting building shading leads to overestimations of 4.0%-20.8% and 37.0%-84.8% for the solar irradiance on them, respectively. </w:t>
      </w:r>
      <w:r w:rsidR="00505550" w:rsidRPr="00196E40">
        <w:t>Furthermore</w:t>
      </w:r>
      <w:r w:rsidR="00196E40" w:rsidRPr="00196E40">
        <w:t xml:space="preserve">, the morphological disparity </w:t>
      </w:r>
      <w:r w:rsidR="00505550">
        <w:t xml:space="preserve">of villages </w:t>
      </w:r>
      <w:r w:rsidR="00196E40" w:rsidRPr="00196E40">
        <w:t>would interfere with the impact of building shading. This study contributes to a more accurate assessment of solar energy potential in rural areas, which is vital for constructing a sustainable society</w:t>
      </w:r>
      <w:r w:rsidR="006D3D23">
        <w:t>.</w:t>
      </w:r>
    </w:p>
    <w:p w:rsidR="00C24DEF" w:rsidRPr="00EE426C" w:rsidRDefault="009B2539" w:rsidP="00EE426C">
      <w:pPr>
        <w:pStyle w:val="keywords"/>
      </w:pPr>
      <w:r w:rsidRPr="00EE426C">
        <w:rPr>
          <w:b/>
          <w:bCs/>
        </w:rPr>
        <w:t>Keywords:</w:t>
      </w:r>
      <w:r w:rsidRPr="00EE426C">
        <w:t xml:space="preserve"> </w:t>
      </w:r>
      <w:r w:rsidR="00196E40" w:rsidRPr="00196E40">
        <w:t>Rural Clusters, Building Shading, Solar Energy Potential, China</w:t>
      </w:r>
      <w:r w:rsidR="00196E40">
        <w:rPr>
          <w:rFonts w:ascii="宋体" w:eastAsia="宋体" w:hAnsi="宋体" w:cs="宋体" w:hint="eastAsia"/>
          <w:lang w:eastAsia="zh-CN"/>
        </w:rPr>
        <w:t>.</w:t>
      </w:r>
    </w:p>
    <w:p w:rsidR="00C24DEF" w:rsidRDefault="00196E40" w:rsidP="00C24DEF">
      <w:pPr>
        <w:pStyle w:val="heading1"/>
      </w:pPr>
      <w:r>
        <w:t>Introduction</w:t>
      </w:r>
    </w:p>
    <w:p w:rsidR="00196E40" w:rsidRPr="00196E40" w:rsidRDefault="00505550" w:rsidP="00196E40">
      <w:pPr>
        <w:pStyle w:val="p1a"/>
      </w:pPr>
      <w:r>
        <w:t>Utilizing s</w:t>
      </w:r>
      <w:r w:rsidR="00196E40" w:rsidRPr="00196E40">
        <w:t xml:space="preserve">olar energy is regarded to be a critical solution for curbing climate change, due to </w:t>
      </w:r>
      <w:r>
        <w:t xml:space="preserve">the </w:t>
      </w:r>
      <w:r w:rsidR="00196E40" w:rsidRPr="00196E40">
        <w:t>abundance, accessibility, and safety</w:t>
      </w:r>
      <w:r>
        <w:t xml:space="preserve"> of this energy</w:t>
      </w:r>
      <w:r w:rsidR="00196E40" w:rsidRPr="00196E40">
        <w:t xml:space="preserve">. Particularly in rural areas that have a large number of low-rise buildings and ample vacant land, solar energy applications possess promising prospects. In recent years, numerous studies have paid attention to this field, especially for building-integrated solar energy systems [1,2]. For instance, Sun et al. [3] utilized high-resolution satellite images to identify the flat and pitched rooftops of villages in northern China and estimated the corresponding PV power potential. Zhong et al. [4] and Yang et al. [5] used satellite images and vector-building footprints to reveal the possible rural rooftop PV power capacity of coastal cities in southeastern China. However, </w:t>
      </w:r>
      <w:r>
        <w:t xml:space="preserve">it is necessary to point out that </w:t>
      </w:r>
      <w:r w:rsidR="00196E40" w:rsidRPr="00196E40">
        <w:t xml:space="preserve">due to the lack of 3D building models, the impact of building shading is generally ignored in these studies. Although the low-rise characteristic of rural buildings can support this </w:t>
      </w:r>
      <w:r w:rsidR="00196E40" w:rsidRPr="00196E40">
        <w:lastRenderedPageBreak/>
        <w:t>simplification to a certain extent, its precise consequences have not been unveiled. In light of this, this study employed three villages in Nanjing as cases and preliminarily quantified the impact of building shading on the solar energy potential of rooftops and facades with different orientations</w:t>
      </w:r>
      <w:r>
        <w:t>.</w:t>
      </w:r>
    </w:p>
    <w:p w:rsidR="00196E40" w:rsidRDefault="00196E40" w:rsidP="00196E40">
      <w:pPr>
        <w:pStyle w:val="heading1"/>
        <w:rPr>
          <w:rFonts w:eastAsiaTheme="minorEastAsia"/>
          <w:lang w:eastAsia="zh-CN"/>
        </w:rPr>
      </w:pPr>
      <w:r>
        <w:rPr>
          <w:rFonts w:eastAsiaTheme="minorEastAsia" w:hint="eastAsia"/>
          <w:lang w:eastAsia="zh-CN"/>
        </w:rPr>
        <w:t>S</w:t>
      </w:r>
      <w:r>
        <w:rPr>
          <w:rFonts w:eastAsiaTheme="minorEastAsia"/>
          <w:lang w:eastAsia="zh-CN"/>
        </w:rPr>
        <w:t>tudy area and methodology</w:t>
      </w:r>
    </w:p>
    <w:p w:rsidR="00196E40" w:rsidRDefault="00196E40" w:rsidP="00196E40">
      <w:pPr>
        <w:pStyle w:val="heading2"/>
        <w:spacing w:before="0"/>
        <w:rPr>
          <w:rFonts w:eastAsiaTheme="minorEastAsia"/>
          <w:lang w:eastAsia="zh-CN"/>
        </w:rPr>
      </w:pPr>
      <w:r>
        <w:rPr>
          <w:rFonts w:eastAsiaTheme="minorEastAsia"/>
          <w:lang w:eastAsia="zh-CN"/>
        </w:rPr>
        <w:t>Study area</w:t>
      </w:r>
    </w:p>
    <w:p w:rsidR="00196E40" w:rsidRPr="00196E40" w:rsidRDefault="00196E40" w:rsidP="00196E40">
      <w:pPr>
        <w:pStyle w:val="p1a"/>
        <w:rPr>
          <w:rFonts w:eastAsiaTheme="minorEastAsia"/>
          <w:lang w:eastAsia="zh-CN"/>
        </w:rPr>
      </w:pPr>
      <w:r w:rsidRPr="00196E40">
        <w:rPr>
          <w:rFonts w:eastAsiaTheme="minorEastAsia"/>
          <w:lang w:eastAsia="zh-CN"/>
        </w:rPr>
        <w:t xml:space="preserve">This study focused on Nanjing, a metropolis in eastern China. Due to the subtropical monsoon climate, Nanjing has an annual average temperature and precipitation of 15.4 </w:t>
      </w:r>
      <w:r w:rsidRPr="00505550">
        <w:rPr>
          <w:rFonts w:eastAsiaTheme="minorEastAsia"/>
          <w:vertAlign w:val="superscript"/>
          <w:lang w:eastAsia="zh-CN"/>
        </w:rPr>
        <w:t>o</w:t>
      </w:r>
      <w:r w:rsidRPr="00196E40">
        <w:rPr>
          <w:rFonts w:eastAsiaTheme="minorEastAsia"/>
          <w:lang w:eastAsia="zh-CN"/>
        </w:rPr>
        <w:t>C and 1200 mm, respectively, with the sunlight hours being about 2000 h per year. By the end of 2021, Nanjing accommodates a residential population of 942.3 million and spans an area of 6587.04 km</w:t>
      </w:r>
      <w:r w:rsidRPr="00505550">
        <w:rPr>
          <w:rFonts w:eastAsiaTheme="minorEastAsia"/>
          <w:vertAlign w:val="superscript"/>
          <w:lang w:eastAsia="zh-CN"/>
        </w:rPr>
        <w:t>2</w:t>
      </w:r>
      <w:r w:rsidRPr="00196E40">
        <w:rPr>
          <w:rFonts w:eastAsiaTheme="minorEastAsia"/>
          <w:lang w:eastAsia="zh-CN"/>
        </w:rPr>
        <w:t xml:space="preserve"> [6]. This huge population incurred a great demand for energy. For instance, in 2021, Nanjing’s electricity usage reached 68.4 TWh, accounting for about 9.6% of the total electricity use of Jiangsu province (the higher-level administrative region encompassing Nanjing) [7]. This exerts great stress on the city’s sustainable development and drives it to seek a clean energy transition.</w:t>
      </w:r>
    </w:p>
    <w:p w:rsidR="00196E40" w:rsidRPr="00196E40" w:rsidRDefault="00196E40" w:rsidP="00196E40">
      <w:pPr>
        <w:rPr>
          <w:rFonts w:eastAsiaTheme="minorEastAsia"/>
          <w:lang w:eastAsia="zh-CN"/>
        </w:rPr>
      </w:pPr>
      <w:r w:rsidRPr="00196E40">
        <w:rPr>
          <w:rFonts w:eastAsiaTheme="minorEastAsia"/>
          <w:lang w:eastAsia="zh-CN"/>
        </w:rPr>
        <w:t>Among various clean energy, solar energy was deemed to be the promising one for this city, especially in its rural areas. With a nearly 1.96 million household population and 66.5 m</w:t>
      </w:r>
      <w:r w:rsidRPr="00505550">
        <w:rPr>
          <w:rFonts w:eastAsiaTheme="minorEastAsia"/>
          <w:vertAlign w:val="superscript"/>
          <w:lang w:eastAsia="zh-CN"/>
        </w:rPr>
        <w:t>2</w:t>
      </w:r>
      <w:r w:rsidRPr="00196E40">
        <w:rPr>
          <w:rFonts w:eastAsiaTheme="minorEastAsia"/>
          <w:lang w:eastAsia="zh-CN"/>
        </w:rPr>
        <w:t xml:space="preserve"> per capita floor area in these regions, rural buildings of Nanjing have approximately 130 km</w:t>
      </w:r>
      <w:r w:rsidRPr="00505550">
        <w:rPr>
          <w:rFonts w:eastAsiaTheme="minorEastAsia"/>
          <w:vertAlign w:val="superscript"/>
          <w:lang w:eastAsia="zh-CN"/>
        </w:rPr>
        <w:t>2</w:t>
      </w:r>
      <w:r w:rsidRPr="00196E40">
        <w:rPr>
          <w:rFonts w:eastAsiaTheme="minorEastAsia"/>
          <w:lang w:eastAsia="zh-CN"/>
        </w:rPr>
        <w:t xml:space="preserve"> of floor area, which provides substantial space for solar energy technologies (e.g., PV panels) application. For example, according to the report of [5], rural buildings in this city can generate a total of 6.83 TWh annual rooftop PV power, taking up 10.8% of the city’s electricity usage in 202</w:t>
      </w:r>
      <w:r w:rsidR="00703637">
        <w:rPr>
          <w:rFonts w:eastAsiaTheme="minorEastAsia"/>
          <w:lang w:eastAsia="zh-CN"/>
        </w:rPr>
        <w:t>1</w:t>
      </w:r>
      <w:r w:rsidRPr="00196E40">
        <w:rPr>
          <w:rFonts w:eastAsiaTheme="minorEastAsia"/>
          <w:lang w:eastAsia="zh-CN"/>
        </w:rPr>
        <w:t>. Therefore, selecting Nanjing as a study area is valuable for exploring rural solar resources to achieve sustainable development.</w:t>
      </w:r>
    </w:p>
    <w:p w:rsidR="00196E40" w:rsidRDefault="00196E40" w:rsidP="006D3D23">
      <w:pPr>
        <w:pStyle w:val="image"/>
        <w:spacing w:before="120"/>
      </w:pPr>
      <w:r>
        <w:rPr>
          <w:noProof/>
        </w:rPr>
        <w:drawing>
          <wp:inline distT="0" distB="0" distL="0" distR="0">
            <wp:extent cx="4345200" cy="185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5200" cy="1857600"/>
                    </a:xfrm>
                    <a:prstGeom prst="rect">
                      <a:avLst/>
                    </a:prstGeom>
                  </pic:spPr>
                </pic:pic>
              </a:graphicData>
            </a:graphic>
          </wp:inline>
        </w:drawing>
      </w:r>
    </w:p>
    <w:p w:rsidR="00196E40" w:rsidRDefault="00196E40" w:rsidP="00196E40">
      <w:pPr>
        <w:pStyle w:val="figurecaption"/>
      </w:pPr>
      <w:r>
        <w:rPr>
          <w:b/>
        </w:rPr>
        <w:t xml:space="preserve">Fig. </w:t>
      </w:r>
      <w:r>
        <w:rPr>
          <w:b/>
        </w:rPr>
        <w:fldChar w:fldCharType="begin"/>
      </w:r>
      <w:r>
        <w:rPr>
          <w:b/>
        </w:rPr>
        <w:instrText xml:space="preserve"> SEQ "Figure" \* MERGEFORMAT </w:instrText>
      </w:r>
      <w:r>
        <w:rPr>
          <w:b/>
        </w:rPr>
        <w:fldChar w:fldCharType="separate"/>
      </w:r>
      <w:r w:rsidR="0078050F">
        <w:rPr>
          <w:b/>
          <w:noProof/>
        </w:rPr>
        <w:t>1</w:t>
      </w:r>
      <w:r>
        <w:rPr>
          <w:b/>
        </w:rPr>
        <w:fldChar w:fldCharType="end"/>
      </w:r>
      <w:r>
        <w:rPr>
          <w:b/>
        </w:rPr>
        <w:t>.</w:t>
      </w:r>
      <w:r>
        <w:t xml:space="preserve"> </w:t>
      </w:r>
      <w:r w:rsidRPr="00196E40">
        <w:t>The selected three villages. a) Location, b) Satellite image, c) 3D characteristic</w:t>
      </w:r>
    </w:p>
    <w:p w:rsidR="00196E40" w:rsidRDefault="00196E40" w:rsidP="00196E40">
      <w:pPr>
        <w:pStyle w:val="p1a"/>
      </w:pPr>
      <w:r w:rsidRPr="00196E40">
        <w:t xml:space="preserve">In this work, three villages distributed in different geographical locations were selected as case studies, as shown in Fig. 1a and b.  With the 12.5 m resolution digital elevation model (DEM) downloaded from Alaska Satellite Facility (ASF, https://asf.alaska.edu/) </w:t>
      </w:r>
      <w:r w:rsidRPr="00196E40">
        <w:lastRenderedPageBreak/>
        <w:t>and the three-dimensional (3D) building models developed according to [8], their morphological characteristics were described in Fig. 1c. It can be observed that the total floor area of these villages range</w:t>
      </w:r>
      <w:r w:rsidR="00703637">
        <w:t>s</w:t>
      </w:r>
      <w:r w:rsidRPr="00196E40">
        <w:t xml:space="preserve"> from 11874.68 to 32874.59 m</w:t>
      </w:r>
      <w:r w:rsidRPr="00703637">
        <w:rPr>
          <w:vertAlign w:val="superscript"/>
        </w:rPr>
        <w:t>2</w:t>
      </w:r>
      <w:r w:rsidRPr="00196E40">
        <w:t>, while the main building orientations are all southeast. The average terrain variation within a village varies from 0.73 to 5.59 m. These discrepancies allow us to rigorously analyze the impacts of building shading on solar energy potential, particularly for considering the interference of morphology</w:t>
      </w:r>
      <w:r>
        <w:t>.</w:t>
      </w:r>
    </w:p>
    <w:p w:rsidR="00196E40" w:rsidRPr="00196E40" w:rsidRDefault="00196E40" w:rsidP="00196E40">
      <w:pPr>
        <w:pStyle w:val="heading2"/>
        <w:rPr>
          <w:rFonts w:eastAsiaTheme="minorEastAsia"/>
          <w:lang w:eastAsia="zh-CN"/>
        </w:rPr>
      </w:pPr>
      <w:r>
        <w:rPr>
          <w:rFonts w:eastAsiaTheme="minorEastAsia"/>
          <w:lang w:eastAsia="zh-CN"/>
        </w:rPr>
        <w:t>Solar radiation simulation with and without building shading</w:t>
      </w:r>
    </w:p>
    <w:p w:rsidR="00196E40" w:rsidRDefault="00196E40" w:rsidP="00196E40">
      <w:pPr>
        <w:pStyle w:val="p1a"/>
      </w:pPr>
      <w:r>
        <w:t xml:space="preserve">With the 12.5 m resolution DEM and 3D building models, this study employed Ladybug Tools to calculate the annual accumulated solar radiation distribution of villages. Ladybug Tools is a specialized integrated platform for building physics analysis. It includes four main modules: Ladybug, Honeybee, Dragonfly, and Butterfly. Among these, Honeybee is dedicated to simulating building energy performance, e.g., air conditioning system design and indoor daylight assessment, by invoking related simulation engines, such as EnergyPlus and Radiance. The backward ray tracing method adopted in Radiance enables Honeybee can accurately calculate the </w:t>
      </w:r>
      <w:r w:rsidR="00703637">
        <w:t xml:space="preserve">solar radiation </w:t>
      </w:r>
      <w:r>
        <w:t xml:space="preserve">distribution on building exterior surfaces </w:t>
      </w:r>
      <w:r w:rsidR="00703637">
        <w:t>in</w:t>
      </w:r>
      <w:r>
        <w:t xml:space="preserve"> high spatiotemporal resolution. Here, we utilized Honeybee to conduct the simulation.</w:t>
      </w:r>
    </w:p>
    <w:p w:rsidR="00196E40" w:rsidRDefault="00196E40" w:rsidP="00196E40">
      <w:r>
        <w:t>Initially, the DEM and 3D building models were fed into Rhino, a 3D design software. Then the rooftops and facades of these building models were discretized into parallel grids. After importing the typical weather file of Nanjing, Radiance was invoked to simulate the distribution of solar radiation on each grid with a timestep of 1 h. By aggregating the results of these grids, we ultimately derive the annual accumulated solar radiation distribution of rooftops and facades. Notably, this process was repeated twice, one for considering building shading by taking each building as the context, while the other was for ignoring building shading where only topography was set to the context. Detailed settings of these simulations are summarized in Table 1.</w:t>
      </w:r>
    </w:p>
    <w:p w:rsidR="00196E40" w:rsidRDefault="00196E40" w:rsidP="00196E40">
      <w:pPr>
        <w:pStyle w:val="tablecaption"/>
      </w:pPr>
      <w:r>
        <w:rPr>
          <w:b/>
        </w:rPr>
        <w:t xml:space="preserve">Table </w:t>
      </w:r>
      <w:r>
        <w:rPr>
          <w:b/>
        </w:rPr>
        <w:fldChar w:fldCharType="begin"/>
      </w:r>
      <w:r>
        <w:rPr>
          <w:b/>
        </w:rPr>
        <w:instrText xml:space="preserve"> SEQ "Table" \* MERGEFORMAT </w:instrText>
      </w:r>
      <w:r>
        <w:rPr>
          <w:b/>
        </w:rPr>
        <w:fldChar w:fldCharType="separate"/>
      </w:r>
      <w:r w:rsidR="0078050F">
        <w:rPr>
          <w:b/>
          <w:noProof/>
        </w:rPr>
        <w:t>1</w:t>
      </w:r>
      <w:r>
        <w:rPr>
          <w:b/>
        </w:rPr>
        <w:fldChar w:fldCharType="end"/>
      </w:r>
      <w:r>
        <w:rPr>
          <w:b/>
        </w:rPr>
        <w:t>.</w:t>
      </w:r>
      <w:r>
        <w:t xml:space="preserve"> </w:t>
      </w:r>
      <w:r w:rsidRPr="00196E40">
        <w:t>Parameter settings of solar radiation simulation.</w:t>
      </w:r>
    </w:p>
    <w:tbl>
      <w:tblPr>
        <w:tblW w:w="6889" w:type="dxa"/>
        <w:jc w:val="center"/>
        <w:tblLayout w:type="fixed"/>
        <w:tblCellMar>
          <w:left w:w="70" w:type="dxa"/>
          <w:right w:w="70" w:type="dxa"/>
        </w:tblCellMar>
        <w:tblLook w:val="0000" w:firstRow="0" w:lastRow="0" w:firstColumn="0" w:lastColumn="0" w:noHBand="0" w:noVBand="0"/>
      </w:tblPr>
      <w:tblGrid>
        <w:gridCol w:w="1692"/>
        <w:gridCol w:w="2263"/>
        <w:gridCol w:w="2934"/>
      </w:tblGrid>
      <w:tr w:rsidR="00196E40" w:rsidRPr="00AA0EB1" w:rsidTr="00DE5964">
        <w:trPr>
          <w:jc w:val="center"/>
        </w:trPr>
        <w:tc>
          <w:tcPr>
            <w:tcW w:w="1692" w:type="dxa"/>
            <w:tcBorders>
              <w:top w:val="single" w:sz="12" w:space="0" w:color="000000"/>
              <w:bottom w:val="single" w:sz="6" w:space="0" w:color="000000"/>
            </w:tcBorders>
          </w:tcPr>
          <w:p w:rsidR="00196E40" w:rsidRPr="00AA0EB1" w:rsidRDefault="00196E40" w:rsidP="00DE5964">
            <w:pPr>
              <w:ind w:firstLine="0"/>
              <w:jc w:val="left"/>
              <w:rPr>
                <w:sz w:val="18"/>
                <w:szCs w:val="18"/>
              </w:rPr>
            </w:pPr>
            <w:r>
              <w:rPr>
                <w:sz w:val="18"/>
                <w:szCs w:val="18"/>
              </w:rPr>
              <w:t>Parameters</w:t>
            </w:r>
          </w:p>
        </w:tc>
        <w:tc>
          <w:tcPr>
            <w:tcW w:w="2263" w:type="dxa"/>
            <w:tcBorders>
              <w:top w:val="single" w:sz="12" w:space="0" w:color="000000"/>
              <w:bottom w:val="single" w:sz="6" w:space="0" w:color="000000"/>
            </w:tcBorders>
          </w:tcPr>
          <w:p w:rsidR="00196E40" w:rsidRPr="00AA0EB1" w:rsidRDefault="00196E40" w:rsidP="00DE5964">
            <w:pPr>
              <w:ind w:firstLine="0"/>
              <w:jc w:val="left"/>
              <w:rPr>
                <w:sz w:val="18"/>
                <w:szCs w:val="18"/>
              </w:rPr>
            </w:pPr>
            <w:r>
              <w:rPr>
                <w:sz w:val="18"/>
                <w:szCs w:val="18"/>
              </w:rPr>
              <w:t>Settings</w:t>
            </w:r>
          </w:p>
        </w:tc>
        <w:tc>
          <w:tcPr>
            <w:tcW w:w="2934" w:type="dxa"/>
            <w:tcBorders>
              <w:top w:val="single" w:sz="12" w:space="0" w:color="000000"/>
              <w:bottom w:val="single" w:sz="6" w:space="0" w:color="000000"/>
            </w:tcBorders>
          </w:tcPr>
          <w:p w:rsidR="00196E40" w:rsidRPr="00AA0EB1" w:rsidRDefault="00196E40" w:rsidP="00DE5964">
            <w:pPr>
              <w:ind w:firstLine="0"/>
              <w:jc w:val="left"/>
              <w:rPr>
                <w:sz w:val="18"/>
                <w:szCs w:val="18"/>
              </w:rPr>
            </w:pPr>
            <w:r>
              <w:rPr>
                <w:sz w:val="18"/>
                <w:szCs w:val="18"/>
              </w:rPr>
              <w:t>Descriptions</w:t>
            </w:r>
          </w:p>
        </w:tc>
      </w:tr>
      <w:tr w:rsidR="00196E40" w:rsidRPr="00AA0EB1" w:rsidTr="00DE5964">
        <w:trPr>
          <w:trHeight w:val="284"/>
          <w:jc w:val="center"/>
        </w:trPr>
        <w:tc>
          <w:tcPr>
            <w:tcW w:w="1692" w:type="dxa"/>
            <w:vAlign w:val="center"/>
          </w:tcPr>
          <w:p w:rsidR="00196E40" w:rsidRPr="00AA0EB1" w:rsidRDefault="00196E40" w:rsidP="00DE5964">
            <w:pPr>
              <w:ind w:firstLine="0"/>
              <w:jc w:val="left"/>
              <w:rPr>
                <w:sz w:val="18"/>
                <w:szCs w:val="18"/>
              </w:rPr>
            </w:pPr>
            <w:r>
              <w:rPr>
                <w:sz w:val="18"/>
                <w:szCs w:val="18"/>
              </w:rPr>
              <w:t>Grid size</w:t>
            </w:r>
          </w:p>
        </w:tc>
        <w:tc>
          <w:tcPr>
            <w:tcW w:w="2263" w:type="dxa"/>
            <w:vAlign w:val="center"/>
          </w:tcPr>
          <w:p w:rsidR="00196E40" w:rsidRPr="00C47295" w:rsidRDefault="00196E40" w:rsidP="00DE5964">
            <w:pPr>
              <w:ind w:firstLine="0"/>
              <w:jc w:val="left"/>
              <w:rPr>
                <w:sz w:val="18"/>
                <w:szCs w:val="18"/>
              </w:rPr>
            </w:pPr>
            <w:r w:rsidRPr="00C47295">
              <w:rPr>
                <w:bCs/>
                <w:sz w:val="18"/>
                <w:szCs w:val="18"/>
              </w:rPr>
              <w:t>2 x 2 m</w:t>
            </w:r>
          </w:p>
        </w:tc>
        <w:tc>
          <w:tcPr>
            <w:tcW w:w="2934" w:type="dxa"/>
            <w:vAlign w:val="center"/>
          </w:tcPr>
          <w:p w:rsidR="00196E40" w:rsidRPr="00AA0EB1" w:rsidRDefault="00196E40" w:rsidP="00DE5964">
            <w:pPr>
              <w:ind w:firstLine="0"/>
              <w:jc w:val="left"/>
              <w:rPr>
                <w:sz w:val="18"/>
                <w:szCs w:val="18"/>
              </w:rPr>
            </w:pPr>
            <w:r>
              <w:rPr>
                <w:sz w:val="18"/>
                <w:szCs w:val="18"/>
              </w:rPr>
              <w:t>The sizes of discretized grids</w:t>
            </w:r>
          </w:p>
        </w:tc>
      </w:tr>
      <w:tr w:rsidR="00196E40" w:rsidRPr="00AA0EB1" w:rsidTr="00DE5964">
        <w:trPr>
          <w:trHeight w:val="284"/>
          <w:jc w:val="center"/>
        </w:trPr>
        <w:tc>
          <w:tcPr>
            <w:tcW w:w="1692" w:type="dxa"/>
            <w:vAlign w:val="center"/>
          </w:tcPr>
          <w:p w:rsidR="00196E40" w:rsidRPr="00AA0EB1" w:rsidRDefault="00196E40" w:rsidP="00DE5964">
            <w:pPr>
              <w:ind w:firstLine="0"/>
              <w:jc w:val="left"/>
              <w:rPr>
                <w:sz w:val="18"/>
                <w:szCs w:val="18"/>
              </w:rPr>
            </w:pPr>
            <w:r>
              <w:rPr>
                <w:sz w:val="18"/>
                <w:szCs w:val="18"/>
              </w:rPr>
              <w:t>Reflectance</w:t>
            </w:r>
          </w:p>
        </w:tc>
        <w:tc>
          <w:tcPr>
            <w:tcW w:w="2263" w:type="dxa"/>
            <w:vAlign w:val="center"/>
          </w:tcPr>
          <w:p w:rsidR="00196E40" w:rsidRPr="00C47295" w:rsidRDefault="00196E40" w:rsidP="00DE5964">
            <w:pPr>
              <w:ind w:firstLine="0"/>
              <w:jc w:val="left"/>
              <w:rPr>
                <w:sz w:val="18"/>
                <w:szCs w:val="18"/>
              </w:rPr>
            </w:pPr>
            <w:r w:rsidRPr="00C47295">
              <w:rPr>
                <w:bCs/>
                <w:sz w:val="18"/>
                <w:szCs w:val="18"/>
              </w:rPr>
              <w:t>Rooftops: 0.48, Facades: 0.35, Ground: 0.26</w:t>
            </w:r>
          </w:p>
        </w:tc>
        <w:tc>
          <w:tcPr>
            <w:tcW w:w="2934" w:type="dxa"/>
            <w:vAlign w:val="center"/>
          </w:tcPr>
          <w:p w:rsidR="00196E40" w:rsidRPr="00AA0EB1" w:rsidRDefault="00196E40" w:rsidP="00DE5964">
            <w:pPr>
              <w:ind w:firstLine="0"/>
              <w:jc w:val="left"/>
              <w:rPr>
                <w:sz w:val="18"/>
                <w:szCs w:val="18"/>
              </w:rPr>
            </w:pPr>
            <w:r>
              <w:rPr>
                <w:sz w:val="18"/>
                <w:szCs w:val="18"/>
              </w:rPr>
              <w:t>The proportion of solar radiation reflection</w:t>
            </w:r>
          </w:p>
        </w:tc>
      </w:tr>
      <w:tr w:rsidR="00196E40" w:rsidRPr="00AA0EB1" w:rsidTr="00DE5964">
        <w:trPr>
          <w:trHeight w:val="284"/>
          <w:jc w:val="center"/>
        </w:trPr>
        <w:tc>
          <w:tcPr>
            <w:tcW w:w="1692" w:type="dxa"/>
            <w:vAlign w:val="center"/>
          </w:tcPr>
          <w:p w:rsidR="00196E40" w:rsidRPr="00AA0EB1" w:rsidRDefault="00196E40" w:rsidP="00DE5964">
            <w:pPr>
              <w:ind w:firstLine="0"/>
              <w:jc w:val="left"/>
              <w:rPr>
                <w:sz w:val="18"/>
                <w:szCs w:val="18"/>
              </w:rPr>
            </w:pPr>
            <w:r>
              <w:rPr>
                <w:sz w:val="18"/>
                <w:szCs w:val="18"/>
              </w:rPr>
              <w:t>Ambient Bounce</w:t>
            </w:r>
          </w:p>
        </w:tc>
        <w:tc>
          <w:tcPr>
            <w:tcW w:w="2263" w:type="dxa"/>
            <w:vAlign w:val="center"/>
          </w:tcPr>
          <w:p w:rsidR="00196E40" w:rsidRPr="00C47295" w:rsidRDefault="00196E40" w:rsidP="00DE5964">
            <w:pPr>
              <w:ind w:firstLine="0"/>
              <w:jc w:val="left"/>
              <w:rPr>
                <w:sz w:val="18"/>
                <w:szCs w:val="18"/>
              </w:rPr>
            </w:pPr>
            <w:r w:rsidRPr="00C47295">
              <w:rPr>
                <w:bCs/>
                <w:sz w:val="18"/>
                <w:szCs w:val="18"/>
              </w:rPr>
              <w:t>3</w:t>
            </w:r>
          </w:p>
        </w:tc>
        <w:tc>
          <w:tcPr>
            <w:tcW w:w="2934" w:type="dxa"/>
            <w:vAlign w:val="center"/>
          </w:tcPr>
          <w:p w:rsidR="00196E40" w:rsidRPr="00AA0EB1" w:rsidRDefault="00196E40" w:rsidP="00DE5964">
            <w:pPr>
              <w:ind w:firstLine="0"/>
              <w:jc w:val="left"/>
              <w:rPr>
                <w:sz w:val="18"/>
                <w:szCs w:val="18"/>
              </w:rPr>
            </w:pPr>
            <w:r>
              <w:rPr>
                <w:sz w:val="18"/>
                <w:szCs w:val="18"/>
              </w:rPr>
              <w:t>The maximum number of sky diffuse bounces within a village</w:t>
            </w:r>
          </w:p>
        </w:tc>
      </w:tr>
      <w:tr w:rsidR="00196E40" w:rsidRPr="00AA0EB1" w:rsidTr="00DE5964">
        <w:trPr>
          <w:trHeight w:val="284"/>
          <w:jc w:val="center"/>
        </w:trPr>
        <w:tc>
          <w:tcPr>
            <w:tcW w:w="1692" w:type="dxa"/>
            <w:vAlign w:val="center"/>
          </w:tcPr>
          <w:p w:rsidR="00196E40" w:rsidRPr="00AA0EB1" w:rsidRDefault="00196E40" w:rsidP="00DE5964">
            <w:pPr>
              <w:ind w:firstLine="0"/>
              <w:jc w:val="left"/>
              <w:rPr>
                <w:sz w:val="18"/>
                <w:szCs w:val="18"/>
              </w:rPr>
            </w:pPr>
            <w:r>
              <w:rPr>
                <w:sz w:val="18"/>
                <w:szCs w:val="18"/>
              </w:rPr>
              <w:t>Recipe type</w:t>
            </w:r>
          </w:p>
        </w:tc>
        <w:tc>
          <w:tcPr>
            <w:tcW w:w="2263" w:type="dxa"/>
            <w:vAlign w:val="center"/>
          </w:tcPr>
          <w:p w:rsidR="00196E40" w:rsidRPr="00C47295" w:rsidRDefault="00196E40" w:rsidP="00DE5964">
            <w:pPr>
              <w:ind w:firstLine="0"/>
              <w:jc w:val="left"/>
              <w:rPr>
                <w:sz w:val="18"/>
                <w:szCs w:val="18"/>
              </w:rPr>
            </w:pPr>
            <w:r w:rsidRPr="00C47295">
              <w:rPr>
                <w:bCs/>
                <w:sz w:val="18"/>
                <w:szCs w:val="18"/>
              </w:rPr>
              <w:t>rfluxmtx</w:t>
            </w:r>
          </w:p>
        </w:tc>
        <w:tc>
          <w:tcPr>
            <w:tcW w:w="2934" w:type="dxa"/>
            <w:vAlign w:val="center"/>
          </w:tcPr>
          <w:p w:rsidR="00196E40" w:rsidRPr="00AA0EB1" w:rsidRDefault="00196E40" w:rsidP="00DE5964">
            <w:pPr>
              <w:ind w:firstLine="0"/>
              <w:jc w:val="left"/>
              <w:rPr>
                <w:sz w:val="18"/>
                <w:szCs w:val="18"/>
              </w:rPr>
            </w:pPr>
            <w:r>
              <w:rPr>
                <w:sz w:val="18"/>
                <w:szCs w:val="18"/>
              </w:rPr>
              <w:t>The recipe adopted to calculate solar radiation</w:t>
            </w:r>
          </w:p>
        </w:tc>
      </w:tr>
      <w:tr w:rsidR="00196E40" w:rsidRPr="00AA0EB1" w:rsidTr="00DE5964">
        <w:trPr>
          <w:trHeight w:val="284"/>
          <w:jc w:val="center"/>
        </w:trPr>
        <w:tc>
          <w:tcPr>
            <w:tcW w:w="1692" w:type="dxa"/>
            <w:tcBorders>
              <w:bottom w:val="single" w:sz="12" w:space="0" w:color="000000"/>
            </w:tcBorders>
            <w:vAlign w:val="center"/>
          </w:tcPr>
          <w:p w:rsidR="00196E40" w:rsidRPr="00AA0EB1" w:rsidRDefault="00196E40" w:rsidP="00DE5964">
            <w:pPr>
              <w:ind w:firstLine="0"/>
              <w:jc w:val="left"/>
              <w:rPr>
                <w:sz w:val="18"/>
                <w:szCs w:val="18"/>
              </w:rPr>
            </w:pPr>
            <w:r>
              <w:rPr>
                <w:sz w:val="18"/>
                <w:szCs w:val="18"/>
              </w:rPr>
              <w:t>Detail level</w:t>
            </w:r>
          </w:p>
        </w:tc>
        <w:tc>
          <w:tcPr>
            <w:tcW w:w="2263" w:type="dxa"/>
            <w:tcBorders>
              <w:bottom w:val="single" w:sz="12" w:space="0" w:color="000000"/>
            </w:tcBorders>
            <w:vAlign w:val="center"/>
          </w:tcPr>
          <w:p w:rsidR="00196E40" w:rsidRPr="00C47295" w:rsidRDefault="00196E40" w:rsidP="00DE5964">
            <w:pPr>
              <w:ind w:firstLine="0"/>
              <w:jc w:val="left"/>
              <w:rPr>
                <w:sz w:val="18"/>
                <w:szCs w:val="18"/>
              </w:rPr>
            </w:pPr>
            <w:r w:rsidRPr="00C47295">
              <w:rPr>
                <w:iCs/>
                <w:sz w:val="18"/>
                <w:szCs w:val="18"/>
              </w:rPr>
              <w:t>high</w:t>
            </w:r>
          </w:p>
        </w:tc>
        <w:tc>
          <w:tcPr>
            <w:tcW w:w="2934" w:type="dxa"/>
            <w:tcBorders>
              <w:bottom w:val="single" w:sz="12" w:space="0" w:color="000000"/>
            </w:tcBorders>
            <w:vAlign w:val="center"/>
          </w:tcPr>
          <w:p w:rsidR="00196E40" w:rsidRPr="00AA0EB1" w:rsidRDefault="00196E40" w:rsidP="00DE5964">
            <w:pPr>
              <w:ind w:firstLine="0"/>
              <w:jc w:val="left"/>
              <w:rPr>
                <w:sz w:val="18"/>
                <w:szCs w:val="18"/>
              </w:rPr>
            </w:pPr>
            <w:r>
              <w:rPr>
                <w:sz w:val="18"/>
                <w:szCs w:val="18"/>
              </w:rPr>
              <w:t>The quality of model parameters</w:t>
            </w:r>
          </w:p>
        </w:tc>
      </w:tr>
    </w:tbl>
    <w:p w:rsidR="00196E40" w:rsidRDefault="00196E40" w:rsidP="00196E40">
      <w:pPr>
        <w:pStyle w:val="heading1"/>
        <w:rPr>
          <w:rFonts w:eastAsiaTheme="minorEastAsia"/>
          <w:lang w:eastAsia="zh-CN"/>
        </w:rPr>
      </w:pPr>
      <w:r>
        <w:rPr>
          <w:rFonts w:eastAsiaTheme="minorEastAsia" w:hint="eastAsia"/>
          <w:lang w:eastAsia="zh-CN"/>
        </w:rPr>
        <w:lastRenderedPageBreak/>
        <w:t>R</w:t>
      </w:r>
      <w:r>
        <w:rPr>
          <w:rFonts w:eastAsiaTheme="minorEastAsia"/>
          <w:lang w:eastAsia="zh-CN"/>
        </w:rPr>
        <w:t>esults and discussions</w:t>
      </w:r>
    </w:p>
    <w:p w:rsidR="00196E40" w:rsidRDefault="00196E40" w:rsidP="00196E40">
      <w:pPr>
        <w:pStyle w:val="heading2"/>
        <w:spacing w:before="0"/>
        <w:rPr>
          <w:rFonts w:eastAsiaTheme="minorEastAsia"/>
          <w:lang w:eastAsia="zh-CN"/>
        </w:rPr>
      </w:pPr>
      <w:r>
        <w:rPr>
          <w:rFonts w:eastAsiaTheme="minorEastAsia"/>
          <w:lang w:eastAsia="zh-CN"/>
        </w:rPr>
        <w:t>Annual accumulated solar radiation distribution in rural building clusters</w:t>
      </w:r>
    </w:p>
    <w:p w:rsidR="00196E40" w:rsidRDefault="00196E40" w:rsidP="00196E40">
      <w:pPr>
        <w:pStyle w:val="p1a"/>
        <w:rPr>
          <w:rFonts w:eastAsiaTheme="minorEastAsia"/>
          <w:lang w:eastAsia="zh-CN"/>
        </w:rPr>
      </w:pPr>
      <w:r w:rsidRPr="00196E40">
        <w:rPr>
          <w:rFonts w:eastAsiaTheme="minorEastAsia"/>
          <w:lang w:eastAsia="zh-CN"/>
        </w:rPr>
        <w:t>Fig. 2 shows the annual accumulated solar radiation on rooftops and facades of each village when considering building shading. It can be seen that the total amounts of radiation on rooftops and facades are close to each other with a ratio of approximately 50% vs. 50%. In village I, the annual accumulated solar irradiances of rooftops and facades are 13.86 and 12.22 GWh (1 GWh equals 10^6 kWh), respectively. While for village III these values are 9.63 and 8.52 GWh, respectively. This depicts that rooftops and facades of rural building clusters have nearly equivalent prospects for solar energy application. Furthermore, among differently oriented building surfaces, south- and north-facing rooftops and south- and west-facing facades have the highest annual accumulated solar irradiance, they jointly contribute to over 60% of the total solar radiation in each village</w:t>
      </w:r>
      <w:r w:rsidR="00376167">
        <w:rPr>
          <w:rFonts w:eastAsiaTheme="minorEastAsia"/>
          <w:lang w:eastAsia="zh-CN"/>
        </w:rPr>
        <w:t>, indicating they should be given priority when exploring rural solar resources</w:t>
      </w:r>
      <w:r w:rsidRPr="00196E40">
        <w:rPr>
          <w:rFonts w:eastAsiaTheme="minorEastAsia"/>
          <w:lang w:eastAsia="zh-CN"/>
        </w:rPr>
        <w:t>.</w:t>
      </w:r>
    </w:p>
    <w:p w:rsidR="00196E40" w:rsidRDefault="00196E40" w:rsidP="006D3D23">
      <w:pPr>
        <w:pStyle w:val="image"/>
        <w:spacing w:before="120"/>
        <w:rPr>
          <w:rFonts w:eastAsiaTheme="minorEastAsia"/>
          <w:lang w:eastAsia="zh-CN"/>
        </w:rPr>
      </w:pPr>
      <w:r>
        <w:rPr>
          <w:rFonts w:eastAsiaTheme="minorEastAsia"/>
          <w:noProof/>
          <w:lang w:eastAsia="zh-CN"/>
        </w:rPr>
        <w:drawing>
          <wp:inline distT="0" distB="0" distL="0" distR="0">
            <wp:extent cx="3474000" cy="1393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4000" cy="1393200"/>
                    </a:xfrm>
                    <a:prstGeom prst="rect">
                      <a:avLst/>
                    </a:prstGeom>
                  </pic:spPr>
                </pic:pic>
              </a:graphicData>
            </a:graphic>
          </wp:inline>
        </w:drawing>
      </w:r>
    </w:p>
    <w:p w:rsidR="00196E40" w:rsidRDefault="00196E40" w:rsidP="00196E40">
      <w:pPr>
        <w:pStyle w:val="figurecaption"/>
        <w:rPr>
          <w:rFonts w:eastAsiaTheme="minorEastAsia"/>
          <w:lang w:eastAsia="zh-CN"/>
        </w:rPr>
      </w:pPr>
      <w:r>
        <w:rPr>
          <w:rFonts w:eastAsiaTheme="minorEastAsia"/>
          <w:b/>
        </w:rPr>
        <w:t xml:space="preserve">Fig. </w:t>
      </w:r>
      <w:r>
        <w:rPr>
          <w:rFonts w:eastAsiaTheme="minorEastAsia"/>
          <w:b/>
        </w:rPr>
        <w:fldChar w:fldCharType="begin"/>
      </w:r>
      <w:r>
        <w:rPr>
          <w:rFonts w:eastAsiaTheme="minorEastAsia"/>
          <w:b/>
        </w:rPr>
        <w:instrText xml:space="preserve"> SEQ "Figure" \* MERGEFORMAT </w:instrText>
      </w:r>
      <w:r>
        <w:rPr>
          <w:rFonts w:eastAsiaTheme="minorEastAsia"/>
          <w:b/>
        </w:rPr>
        <w:fldChar w:fldCharType="separate"/>
      </w:r>
      <w:r w:rsidR="0078050F">
        <w:rPr>
          <w:rFonts w:eastAsiaTheme="minorEastAsia"/>
          <w:b/>
          <w:noProof/>
        </w:rPr>
        <w:t>2</w:t>
      </w:r>
      <w:r>
        <w:rPr>
          <w:rFonts w:eastAsiaTheme="minorEastAsia"/>
          <w:b/>
        </w:rPr>
        <w:fldChar w:fldCharType="end"/>
      </w:r>
      <w:r>
        <w:rPr>
          <w:rFonts w:eastAsiaTheme="minorEastAsia"/>
          <w:b/>
        </w:rPr>
        <w:t>.</w:t>
      </w:r>
      <w:r>
        <w:rPr>
          <w:rFonts w:eastAsiaTheme="minorEastAsia"/>
        </w:rPr>
        <w:t xml:space="preserve"> </w:t>
      </w:r>
      <w:r w:rsidRPr="00196E40">
        <w:rPr>
          <w:rFonts w:eastAsiaTheme="minorEastAsia"/>
        </w:rPr>
        <w:t>Annual</w:t>
      </w:r>
      <w:r w:rsidRPr="00196E40">
        <w:rPr>
          <w:rFonts w:eastAsiaTheme="minorEastAsia"/>
          <w:lang w:eastAsia="zh-CN"/>
        </w:rPr>
        <w:t xml:space="preserve"> accumulated solar radiation of three villages. (R: rooftop, W: façade, E: east-facing, N: north-facing, S: south-facing, W: west-facing)</w:t>
      </w:r>
    </w:p>
    <w:p w:rsidR="00196E40" w:rsidRDefault="00196E40" w:rsidP="00196E40">
      <w:pPr>
        <w:pStyle w:val="heading2"/>
        <w:rPr>
          <w:rFonts w:eastAsiaTheme="minorEastAsia"/>
          <w:lang w:eastAsia="zh-CN"/>
        </w:rPr>
      </w:pPr>
      <w:r>
        <w:rPr>
          <w:rFonts w:eastAsiaTheme="minorEastAsia"/>
          <w:lang w:eastAsia="zh-CN"/>
        </w:rPr>
        <w:t>Impacts of building shading on rooftop and façade solar energy potential</w:t>
      </w:r>
    </w:p>
    <w:p w:rsidR="00196E40" w:rsidRPr="00196E40" w:rsidRDefault="00196E40" w:rsidP="00196E40">
      <w:pPr>
        <w:pStyle w:val="p1a"/>
        <w:rPr>
          <w:rFonts w:eastAsiaTheme="minorEastAsia"/>
          <w:lang w:eastAsia="zh-CN"/>
        </w:rPr>
      </w:pPr>
      <w:r w:rsidRPr="00196E40">
        <w:rPr>
          <w:rFonts w:eastAsiaTheme="minorEastAsia"/>
          <w:lang w:eastAsia="zh-CN"/>
        </w:rPr>
        <w:t>Fig. 3 illustrates the annual accumulated solar radiation distribution of each village with and without building shading. It can be seen that the impact of building shading on facades is higher than on rooftops. In Fig. 3a, after excluding building shading, the annual accumulated solar radiation of total facades increased by 2.54 to 8.31 GWh, whilst the corresponding increment for rooftops is only 0.31 to 0.71 GWh. Fig. 3b depicts the relative variations of solar radiation</w:t>
      </w:r>
      <w:r w:rsidR="0033391C">
        <w:rPr>
          <w:rFonts w:eastAsiaTheme="minorEastAsia"/>
          <w:lang w:eastAsia="zh-CN"/>
        </w:rPr>
        <w:t xml:space="preserve"> of </w:t>
      </w:r>
      <w:r w:rsidR="00E16805">
        <w:rPr>
          <w:rFonts w:eastAsiaTheme="minorEastAsia"/>
          <w:lang w:eastAsia="zh-CN"/>
        </w:rPr>
        <w:t>them</w:t>
      </w:r>
      <w:r w:rsidRPr="00196E40">
        <w:rPr>
          <w:rFonts w:eastAsiaTheme="minorEastAsia"/>
          <w:lang w:eastAsia="zh-CN"/>
        </w:rPr>
        <w:t xml:space="preserve">. In line with Fig. 3a, the growth degree of facades is more significant. When building shading is ignored, solar energy potential on this type of surface rises by 29.8% to 55.5%, far surpassing the </w:t>
      </w:r>
      <w:r w:rsidR="00E16805">
        <w:rPr>
          <w:rFonts w:eastAsiaTheme="minorEastAsia"/>
          <w:lang w:eastAsia="zh-CN"/>
        </w:rPr>
        <w:t>ratio</w:t>
      </w:r>
      <w:r w:rsidRPr="00196E40">
        <w:rPr>
          <w:rFonts w:eastAsiaTheme="minorEastAsia"/>
          <w:lang w:eastAsia="zh-CN"/>
        </w:rPr>
        <w:t xml:space="preserve"> of 2.9% to 4.7% of rooftops. Additionally, it is observed that village type has an interference with the impact of building shading. In Village I, the overestimated percentage for façade solar irradiance exceeds 50%, while for Village II and III, the overestimations are less than 40%. This may be attributed to their morphological disparities. As shown in Fig. 1c, compared to</w:t>
      </w:r>
      <w:r w:rsidR="00E16805">
        <w:rPr>
          <w:rFonts w:eastAsiaTheme="minorEastAsia"/>
          <w:lang w:eastAsia="zh-CN"/>
        </w:rPr>
        <w:t xml:space="preserve"> </w:t>
      </w:r>
      <w:r w:rsidRPr="00196E40">
        <w:rPr>
          <w:rFonts w:eastAsiaTheme="minorEastAsia"/>
          <w:lang w:eastAsia="zh-CN"/>
        </w:rPr>
        <w:t xml:space="preserve">Village II and III, Village I </w:t>
      </w:r>
      <w:proofErr w:type="gramStart"/>
      <w:r w:rsidRPr="00196E40">
        <w:rPr>
          <w:rFonts w:eastAsiaTheme="minorEastAsia"/>
          <w:lang w:eastAsia="zh-CN"/>
        </w:rPr>
        <w:t>holds</w:t>
      </w:r>
      <w:proofErr w:type="gramEnd"/>
      <w:r w:rsidRPr="00196E40">
        <w:rPr>
          <w:rFonts w:eastAsiaTheme="minorEastAsia"/>
          <w:lang w:eastAsia="zh-CN"/>
        </w:rPr>
        <w:t xml:space="preserve"> more easterly orientation and </w:t>
      </w:r>
      <w:r w:rsidRPr="00196E40">
        <w:rPr>
          <w:rFonts w:eastAsiaTheme="minorEastAsia"/>
          <w:lang w:eastAsia="zh-CN"/>
        </w:rPr>
        <w:lastRenderedPageBreak/>
        <w:t xml:space="preserve">flat terrain. Therefore, in future evaluation of the effect of building shading, the impact of village morphology should be </w:t>
      </w:r>
      <w:proofErr w:type="gramStart"/>
      <w:r w:rsidRPr="00196E40">
        <w:rPr>
          <w:rFonts w:eastAsiaTheme="minorEastAsia"/>
          <w:lang w:eastAsia="zh-CN"/>
        </w:rPr>
        <w:t>taken into account</w:t>
      </w:r>
      <w:proofErr w:type="gramEnd"/>
      <w:r w:rsidRPr="00196E40">
        <w:rPr>
          <w:rFonts w:eastAsiaTheme="minorEastAsia"/>
          <w:lang w:eastAsia="zh-CN"/>
        </w:rPr>
        <w:t>.</w:t>
      </w:r>
    </w:p>
    <w:p w:rsidR="00196E40" w:rsidRDefault="00196E40" w:rsidP="00196E40">
      <w:pPr>
        <w:rPr>
          <w:rFonts w:eastAsiaTheme="minorEastAsia"/>
          <w:lang w:eastAsia="zh-CN"/>
        </w:rPr>
      </w:pPr>
      <w:r w:rsidRPr="00196E40">
        <w:rPr>
          <w:rFonts w:eastAsiaTheme="minorEastAsia"/>
          <w:lang w:eastAsia="zh-CN"/>
        </w:rPr>
        <w:t>Specific to orientations of rooftops and facades, Fig. 3c and d show that west-facing surfaces are most easily influenced. In the three villages, when building shading is ignored, the annual accumulated solar radiation of west-facing rooftops and facades is overestimated by 4.0% to 20.8% and 37.0% to 84.8%, respectively. Particularly for Village I, the overestimation error is highest. Hence, when utilizing west-facing surfaces to deploy solar energy systems, the impact of building shading must be considered, even if t</w:t>
      </w:r>
      <w:r w:rsidR="00E0569B">
        <w:rPr>
          <w:rFonts w:eastAsiaTheme="minorEastAsia"/>
          <w:lang w:eastAsia="zh-CN"/>
        </w:rPr>
        <w:t>hey</w:t>
      </w:r>
      <w:r w:rsidRPr="00196E40">
        <w:rPr>
          <w:rFonts w:eastAsiaTheme="minorEastAsia"/>
          <w:lang w:eastAsia="zh-CN"/>
        </w:rPr>
        <w:t xml:space="preserve"> are rooftops.</w:t>
      </w:r>
    </w:p>
    <w:p w:rsidR="00470E4F" w:rsidRDefault="00CA27A1" w:rsidP="00196E40">
      <w:pPr>
        <w:rPr>
          <w:rFonts w:eastAsiaTheme="minorEastAsia"/>
          <w:lang w:eastAsia="zh-CN"/>
        </w:rPr>
      </w:pPr>
      <w:r w:rsidRPr="00EC37EE">
        <w:rPr>
          <w:rFonts w:eastAsiaTheme="minorEastAsia"/>
          <w:lang w:eastAsia="zh-CN"/>
        </w:rPr>
        <w:t xml:space="preserve">Finally, this study has some limitations that need to be addressed. </w:t>
      </w:r>
      <w:r w:rsidR="00702852" w:rsidRPr="00EC37EE">
        <w:rPr>
          <w:rFonts w:eastAsiaTheme="minorEastAsia"/>
          <w:lang w:eastAsia="zh-CN"/>
        </w:rPr>
        <w:t>First</w:t>
      </w:r>
      <w:r w:rsidR="00470E4F" w:rsidRPr="00EC37EE">
        <w:rPr>
          <w:rFonts w:eastAsiaTheme="minorEastAsia"/>
          <w:lang w:eastAsia="zh-CN"/>
        </w:rPr>
        <w:t xml:space="preserve">, vegetation </w:t>
      </w:r>
      <w:r w:rsidRPr="00EC37EE">
        <w:rPr>
          <w:rFonts w:eastAsiaTheme="minorEastAsia"/>
          <w:lang w:eastAsia="zh-CN"/>
        </w:rPr>
        <w:t>in</w:t>
      </w:r>
      <w:r w:rsidR="00470E4F" w:rsidRPr="00EC37EE">
        <w:rPr>
          <w:rFonts w:eastAsiaTheme="minorEastAsia"/>
          <w:lang w:eastAsia="zh-CN"/>
        </w:rPr>
        <w:t xml:space="preserve"> rural areas </w:t>
      </w:r>
      <w:r w:rsidR="00702852" w:rsidRPr="00EC37EE">
        <w:rPr>
          <w:rFonts w:eastAsiaTheme="minorEastAsia"/>
          <w:lang w:eastAsia="zh-CN"/>
        </w:rPr>
        <w:t>(e.g., tree</w:t>
      </w:r>
      <w:r w:rsidRPr="00EC37EE">
        <w:rPr>
          <w:rFonts w:eastAsiaTheme="minorEastAsia"/>
          <w:lang w:eastAsia="zh-CN"/>
        </w:rPr>
        <w:t>s</w:t>
      </w:r>
      <w:r w:rsidR="00702852" w:rsidRPr="00EC37EE">
        <w:rPr>
          <w:rFonts w:eastAsiaTheme="minorEastAsia"/>
          <w:lang w:eastAsia="zh-CN"/>
        </w:rPr>
        <w:t xml:space="preserve"> and grass) </w:t>
      </w:r>
      <w:r w:rsidR="00470E4F" w:rsidRPr="00EC37EE">
        <w:rPr>
          <w:rFonts w:eastAsiaTheme="minorEastAsia"/>
          <w:lang w:eastAsia="zh-CN"/>
        </w:rPr>
        <w:t>was not included in the</w:t>
      </w:r>
      <w:r w:rsidR="00702852" w:rsidRPr="00EC37EE">
        <w:rPr>
          <w:rFonts w:eastAsiaTheme="minorEastAsia"/>
          <w:lang w:eastAsia="zh-CN"/>
        </w:rPr>
        <w:t>se</w:t>
      </w:r>
      <w:r w:rsidR="00470E4F" w:rsidRPr="00EC37EE">
        <w:rPr>
          <w:rFonts w:eastAsiaTheme="minorEastAsia"/>
          <w:lang w:eastAsia="zh-CN"/>
        </w:rPr>
        <w:t xml:space="preserve"> 3D village model</w:t>
      </w:r>
      <w:r w:rsidR="00702852" w:rsidRPr="00EC37EE">
        <w:rPr>
          <w:rFonts w:eastAsiaTheme="minorEastAsia"/>
          <w:lang w:eastAsia="zh-CN"/>
        </w:rPr>
        <w:t>s</w:t>
      </w:r>
      <w:r w:rsidR="00470E4F" w:rsidRPr="00EC37EE">
        <w:rPr>
          <w:rFonts w:eastAsiaTheme="minorEastAsia"/>
          <w:lang w:eastAsia="zh-CN"/>
        </w:rPr>
        <w:t xml:space="preserve">, causing a certain error </w:t>
      </w:r>
      <w:r w:rsidRPr="00EC37EE">
        <w:rPr>
          <w:rFonts w:eastAsiaTheme="minorEastAsia"/>
          <w:lang w:eastAsia="zh-CN"/>
        </w:rPr>
        <w:t>in</w:t>
      </w:r>
      <w:r w:rsidR="00470E4F" w:rsidRPr="00EC37EE">
        <w:rPr>
          <w:rFonts w:eastAsiaTheme="minorEastAsia"/>
          <w:lang w:eastAsia="zh-CN"/>
        </w:rPr>
        <w:t xml:space="preserve"> the</w:t>
      </w:r>
      <w:r w:rsidR="00702852" w:rsidRPr="00EC37EE">
        <w:rPr>
          <w:rFonts w:eastAsiaTheme="minorEastAsia"/>
          <w:lang w:eastAsia="zh-CN"/>
        </w:rPr>
        <w:t>ir</w:t>
      </w:r>
      <w:r w:rsidR="00470E4F" w:rsidRPr="00EC37EE">
        <w:rPr>
          <w:rFonts w:eastAsiaTheme="minorEastAsia"/>
          <w:lang w:eastAsia="zh-CN"/>
        </w:rPr>
        <w:t xml:space="preserve"> impact evaluation. </w:t>
      </w:r>
      <w:r w:rsidR="00702852" w:rsidRPr="00EC37EE">
        <w:rPr>
          <w:rFonts w:eastAsiaTheme="minorEastAsia"/>
          <w:lang w:eastAsia="zh-CN"/>
        </w:rPr>
        <w:t>Second</w:t>
      </w:r>
      <w:r w:rsidR="00470E4F" w:rsidRPr="00EC37EE">
        <w:rPr>
          <w:rFonts w:eastAsiaTheme="minorEastAsia"/>
          <w:lang w:eastAsia="zh-CN"/>
        </w:rPr>
        <w:t xml:space="preserve">, a higher temporal-resolution </w:t>
      </w:r>
      <w:r w:rsidRPr="00EC37EE">
        <w:rPr>
          <w:rFonts w:eastAsiaTheme="minorEastAsia"/>
          <w:lang w:eastAsia="zh-CN"/>
        </w:rPr>
        <w:t>assessment</w:t>
      </w:r>
      <w:r w:rsidR="00702852" w:rsidRPr="00EC37EE">
        <w:rPr>
          <w:rFonts w:eastAsiaTheme="minorEastAsia"/>
          <w:lang w:eastAsia="zh-CN"/>
        </w:rPr>
        <w:t xml:space="preserve"> </w:t>
      </w:r>
      <w:r w:rsidRPr="00EC37EE">
        <w:rPr>
          <w:rFonts w:eastAsiaTheme="minorEastAsia"/>
          <w:lang w:eastAsia="zh-CN"/>
        </w:rPr>
        <w:t xml:space="preserve">(e.g., monthly and daily) on building shading impact </w:t>
      </w:r>
      <w:r w:rsidR="00702852" w:rsidRPr="00EC37EE">
        <w:rPr>
          <w:rFonts w:eastAsiaTheme="minorEastAsia"/>
          <w:lang w:eastAsia="zh-CN"/>
        </w:rPr>
        <w:t>should be implemented</w:t>
      </w:r>
      <w:r w:rsidR="00470E4F" w:rsidRPr="00EC37EE">
        <w:rPr>
          <w:rFonts w:eastAsiaTheme="minorEastAsia"/>
          <w:lang w:eastAsia="zh-CN"/>
        </w:rPr>
        <w:t xml:space="preserve"> to guide the deployment of solar energy systems in practice.</w:t>
      </w:r>
    </w:p>
    <w:p w:rsidR="00196E40" w:rsidRDefault="00196E40" w:rsidP="006D3D23">
      <w:pPr>
        <w:pStyle w:val="image"/>
        <w:spacing w:before="120" w:after="0"/>
        <w:rPr>
          <w:rFonts w:eastAsiaTheme="minorEastAsia"/>
          <w:lang w:eastAsia="zh-CN"/>
        </w:rPr>
      </w:pPr>
      <w:r>
        <w:rPr>
          <w:rFonts w:eastAsiaTheme="minorEastAsia"/>
          <w:noProof/>
          <w:lang w:eastAsia="zh-CN"/>
        </w:rPr>
        <w:drawing>
          <wp:inline distT="0" distB="0" distL="0" distR="0">
            <wp:extent cx="3657600" cy="2444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444400"/>
                    </a:xfrm>
                    <a:prstGeom prst="rect">
                      <a:avLst/>
                    </a:prstGeom>
                  </pic:spPr>
                </pic:pic>
              </a:graphicData>
            </a:graphic>
          </wp:inline>
        </w:drawing>
      </w:r>
    </w:p>
    <w:p w:rsidR="00E0569B" w:rsidRPr="00E0569B" w:rsidRDefault="00196E40" w:rsidP="00470E4F">
      <w:pPr>
        <w:pStyle w:val="figurecaption"/>
        <w:rPr>
          <w:rFonts w:eastAsiaTheme="minorEastAsia"/>
          <w:lang w:eastAsia="zh-CN"/>
        </w:rPr>
      </w:pPr>
      <w:r>
        <w:rPr>
          <w:rFonts w:eastAsiaTheme="minorEastAsia"/>
          <w:b/>
        </w:rPr>
        <w:t xml:space="preserve">Fig. </w:t>
      </w:r>
      <w:r>
        <w:rPr>
          <w:rFonts w:eastAsiaTheme="minorEastAsia"/>
          <w:b/>
        </w:rPr>
        <w:fldChar w:fldCharType="begin"/>
      </w:r>
      <w:r>
        <w:rPr>
          <w:rFonts w:eastAsiaTheme="minorEastAsia"/>
          <w:b/>
        </w:rPr>
        <w:instrText xml:space="preserve"> SEQ "Figure" \* MERGEFORMAT </w:instrText>
      </w:r>
      <w:r>
        <w:rPr>
          <w:rFonts w:eastAsiaTheme="minorEastAsia"/>
          <w:b/>
        </w:rPr>
        <w:fldChar w:fldCharType="separate"/>
      </w:r>
      <w:r w:rsidR="0078050F">
        <w:rPr>
          <w:rFonts w:eastAsiaTheme="minorEastAsia"/>
          <w:b/>
          <w:noProof/>
        </w:rPr>
        <w:t>3</w:t>
      </w:r>
      <w:r>
        <w:rPr>
          <w:rFonts w:eastAsiaTheme="minorEastAsia"/>
          <w:b/>
        </w:rPr>
        <w:fldChar w:fldCharType="end"/>
      </w:r>
      <w:r>
        <w:rPr>
          <w:rFonts w:eastAsiaTheme="minorEastAsia"/>
          <w:b/>
        </w:rPr>
        <w:t>.</w:t>
      </w:r>
      <w:r>
        <w:rPr>
          <w:rFonts w:eastAsiaTheme="minorEastAsia"/>
        </w:rPr>
        <w:t xml:space="preserve"> </w:t>
      </w:r>
      <w:r w:rsidRPr="00196E40">
        <w:rPr>
          <w:rFonts w:eastAsiaTheme="minorEastAsia"/>
        </w:rPr>
        <w:t>Annual</w:t>
      </w:r>
      <w:r w:rsidRPr="00196E40">
        <w:rPr>
          <w:rFonts w:eastAsiaTheme="minorEastAsia"/>
          <w:lang w:eastAsia="zh-CN"/>
        </w:rPr>
        <w:t xml:space="preserve"> accumulated solar radiation of three villages with and without building shading. a) Absolute variations of rooftops and facades, b) Relative variations of rooftops and facades, c) Absolute variations for different orientations, d) Relative variations for these orientations</w:t>
      </w:r>
    </w:p>
    <w:p w:rsidR="00196E40" w:rsidRDefault="00196E40" w:rsidP="00196E40">
      <w:pPr>
        <w:pStyle w:val="heading1"/>
        <w:rPr>
          <w:rFonts w:eastAsiaTheme="minorEastAsia"/>
          <w:lang w:eastAsia="zh-CN"/>
        </w:rPr>
      </w:pPr>
      <w:r>
        <w:rPr>
          <w:rFonts w:eastAsiaTheme="minorEastAsia"/>
          <w:lang w:eastAsia="zh-CN"/>
        </w:rPr>
        <w:t>Conclusions</w:t>
      </w:r>
    </w:p>
    <w:p w:rsidR="00196E40" w:rsidRDefault="00196E40" w:rsidP="00196E40">
      <w:pPr>
        <w:ind w:firstLine="0"/>
        <w:rPr>
          <w:rFonts w:eastAsiaTheme="minorEastAsia"/>
          <w:lang w:eastAsia="zh-CN"/>
        </w:rPr>
      </w:pPr>
      <w:r w:rsidRPr="00196E40">
        <w:rPr>
          <w:rFonts w:eastAsiaTheme="minorEastAsia"/>
          <w:lang w:eastAsia="zh-CN"/>
        </w:rPr>
        <w:t>With the studies of three villages in Nanjing, this work found that the impact of building shading on solar energy potential is more significant on facades than on rooftops. Ignoring this shading, the annual accumulated solar radiation of facades would be overestimated by 29.8% to 55.5%, while for rooftops this error is only 2.9% to 4.7%. Among various oriented surfaces, west-facing rooftops and facades are the most sensitive. The overestimations for them can reach maximums of 20.8% and 84.8%, respectively. Additionally, village morphology exerts interferences with building shading. Therefore, their effect should be considered in future studies</w:t>
      </w:r>
    </w:p>
    <w:p w:rsidR="00606587" w:rsidRDefault="009B2539" w:rsidP="00606587">
      <w:pPr>
        <w:pStyle w:val="heading1"/>
        <w:numPr>
          <w:ilvl w:val="0"/>
          <w:numId w:val="0"/>
        </w:numPr>
        <w:ind w:left="567" w:hanging="567"/>
      </w:pPr>
      <w:r>
        <w:lastRenderedPageBreak/>
        <w:t>References</w:t>
      </w:r>
    </w:p>
    <w:p w:rsidR="00196E40" w:rsidRDefault="00526BF7" w:rsidP="00196E40">
      <w:pPr>
        <w:pStyle w:val="referenceitem"/>
      </w:pPr>
      <w:r w:rsidRPr="00526BF7">
        <w:t>Zhao, A., Jiao, Y., Quan, W. &amp; Chen, Y</w:t>
      </w:r>
      <w:r>
        <w:t>:</w:t>
      </w:r>
      <w:r w:rsidRPr="00526BF7">
        <w:t xml:space="preserve"> Net zero carbon rural integrated energy system design optimization based on the energy demand in temporal and spatial dimensions. Renewable Energy 222, 119818 (2024)</w:t>
      </w:r>
      <w:r w:rsidR="00196E40">
        <w:t>.</w:t>
      </w:r>
    </w:p>
    <w:p w:rsidR="00196E40" w:rsidRDefault="00196E40" w:rsidP="00196E40">
      <w:pPr>
        <w:pStyle w:val="referenceitem"/>
      </w:pPr>
      <w:r w:rsidRPr="00196E40">
        <w:t xml:space="preserve">S.S. Hosseini </w:t>
      </w:r>
      <w:proofErr w:type="spellStart"/>
      <w:r w:rsidRPr="00196E40">
        <w:t>Dehshiri</w:t>
      </w:r>
      <w:proofErr w:type="spellEnd"/>
      <w:r w:rsidRPr="00196E40">
        <w:t xml:space="preserve">, B. </w:t>
      </w:r>
      <w:proofErr w:type="spellStart"/>
      <w:r w:rsidRPr="00196E40">
        <w:t>Firoozabadi</w:t>
      </w:r>
      <w:proofErr w:type="spellEnd"/>
      <w:r w:rsidR="00526BF7">
        <w:t>:</w:t>
      </w:r>
      <w:r w:rsidRPr="00196E40">
        <w:t xml:space="preserve"> </w:t>
      </w:r>
      <w:r w:rsidR="00526BF7" w:rsidRPr="00526BF7">
        <w:t>Building integrated photovoltaic with hydrogen storage as a sustainable solution in Iranian rural healthcare centers. Energy Conversion and Management 314, 118710 (2024)</w:t>
      </w:r>
      <w:r>
        <w:t>.</w:t>
      </w:r>
    </w:p>
    <w:p w:rsidR="00196E40" w:rsidRDefault="00526BF7" w:rsidP="00196E40">
      <w:pPr>
        <w:pStyle w:val="referenceitem"/>
      </w:pPr>
      <w:r w:rsidRPr="00526BF7">
        <w:t>Sun, T., Shan, M., Rong, X. &amp; Yang, X</w:t>
      </w:r>
      <w:r>
        <w:t>:</w:t>
      </w:r>
      <w:r w:rsidRPr="00526BF7">
        <w:t xml:space="preserve"> Estimating the spatial distribution of solar photo-voltaic power generation potential on different types of rural rooftops using a deep learning network applied to satellite images. Applied Energy 315, 119025 (2022)</w:t>
      </w:r>
      <w:r w:rsidR="00196E40">
        <w:t>.</w:t>
      </w:r>
    </w:p>
    <w:p w:rsidR="00196E40" w:rsidRDefault="00526BF7" w:rsidP="00196E40">
      <w:pPr>
        <w:pStyle w:val="referenceitem"/>
      </w:pPr>
      <w:r w:rsidRPr="00526BF7">
        <w:t>Zhong, T. et al</w:t>
      </w:r>
      <w:r>
        <w:t>.:</w:t>
      </w:r>
      <w:r w:rsidRPr="00526BF7">
        <w:t xml:space="preserve"> A city-scale estimation of rooftop solar photovoltaic potential based on deep learning. Applied Energy 298, 117132 (2021)</w:t>
      </w:r>
      <w:r w:rsidR="00196E40">
        <w:t>.</w:t>
      </w:r>
    </w:p>
    <w:p w:rsidR="00196E40" w:rsidRDefault="00526BF7" w:rsidP="00196E40">
      <w:pPr>
        <w:pStyle w:val="referenceitem"/>
      </w:pPr>
      <w:r w:rsidRPr="00526BF7">
        <w:t>Yang, Y. et al.</w:t>
      </w:r>
      <w:r>
        <w:t>:</w:t>
      </w:r>
      <w:r w:rsidRPr="00526BF7">
        <w:t xml:space="preserve"> Whether rural rooftop photovoltaics can effectively fight the power consumption conflicts at the regional scale – A case study of Jiangsu Province. Energy and Buildings 306, 113921 (2024)</w:t>
      </w:r>
      <w:r w:rsidR="00196E40">
        <w:t>.</w:t>
      </w:r>
    </w:p>
    <w:p w:rsidR="00196E40" w:rsidRDefault="00196E40" w:rsidP="00196E40">
      <w:pPr>
        <w:pStyle w:val="referenceitem"/>
      </w:pPr>
      <w:r w:rsidRPr="00196E40">
        <w:t>Nanjing Bureau of Statistics</w:t>
      </w:r>
      <w:r w:rsidR="00526BF7">
        <w:t>:</w:t>
      </w:r>
      <w:r w:rsidRPr="00196E40">
        <w:t xml:space="preserve"> Nanjing Statistical Yearbook</w:t>
      </w:r>
      <w:r w:rsidR="00526BF7">
        <w:t xml:space="preserve"> 2022</w:t>
      </w:r>
      <w:r w:rsidR="00C80E32">
        <w:t xml:space="preserve">. </w:t>
      </w:r>
      <w:r w:rsidR="00C80E32" w:rsidRPr="00C80E32">
        <w:t>China Statistics Press</w:t>
      </w:r>
      <w:r w:rsidR="00C80E32">
        <w:t>, Beijing (2022)</w:t>
      </w:r>
      <w:r>
        <w:t>.</w:t>
      </w:r>
    </w:p>
    <w:p w:rsidR="00196E40" w:rsidRDefault="00196E40" w:rsidP="00196E40">
      <w:pPr>
        <w:pStyle w:val="referenceitem"/>
      </w:pPr>
      <w:r w:rsidRPr="00196E40">
        <w:t>Jiangsu Bureau of Statistics</w:t>
      </w:r>
      <w:r w:rsidR="00526BF7">
        <w:t>:</w:t>
      </w:r>
      <w:bookmarkStart w:id="0" w:name="_GoBack"/>
      <w:bookmarkEnd w:id="0"/>
      <w:r w:rsidRPr="00196E40">
        <w:t xml:space="preserve"> Jiangsu Statistical Yearbook 2022. </w:t>
      </w:r>
      <w:r w:rsidR="00526BF7" w:rsidRPr="00526BF7">
        <w:t>China Statistics Press</w:t>
      </w:r>
      <w:r w:rsidR="00526BF7">
        <w:t>, Beijing</w:t>
      </w:r>
      <w:r w:rsidR="00526BF7" w:rsidRPr="00526BF7">
        <w:t xml:space="preserve"> </w:t>
      </w:r>
      <w:r w:rsidR="00526BF7">
        <w:t>(</w:t>
      </w:r>
      <w:r w:rsidRPr="00196E40">
        <w:t>2022</w:t>
      </w:r>
      <w:r w:rsidR="00526BF7">
        <w:t>)</w:t>
      </w:r>
      <w:r w:rsidRPr="00196E40">
        <w:t xml:space="preserve">. </w:t>
      </w:r>
    </w:p>
    <w:p w:rsidR="00F5783C" w:rsidRPr="00606587" w:rsidRDefault="00526BF7" w:rsidP="00196E40">
      <w:pPr>
        <w:pStyle w:val="referenceitem"/>
      </w:pPr>
      <w:r w:rsidRPr="00526BF7">
        <w:t>Liu, J. et al.</w:t>
      </w:r>
      <w:r>
        <w:t>:</w:t>
      </w:r>
      <w:r w:rsidRPr="00526BF7">
        <w:t xml:space="preserve"> A novel approach for assessing rooftop-and-facade solar photovoltaic potential in rural areas using three-dimensional (3D) building models constructed with GIS. Energy 282, 128920 (2023)</w:t>
      </w:r>
      <w:r w:rsidR="00196E40">
        <w:t>.</w:t>
      </w:r>
    </w:p>
    <w:sectPr w:rsidR="00F5783C" w:rsidRPr="00606587" w:rsidSect="009F7FCE">
      <w:headerReference w:type="even" r:id="rId10"/>
      <w:headerReference w:type="default" r:id="rId11"/>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7ACA" w:rsidRDefault="00257ACA">
      <w:r>
        <w:separator/>
      </w:r>
    </w:p>
  </w:endnote>
  <w:endnote w:type="continuationSeparator" w:id="0">
    <w:p w:rsidR="00257ACA" w:rsidRDefault="0025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7ACA" w:rsidRDefault="00257ACA" w:rsidP="009F7FCE">
      <w:pPr>
        <w:ind w:firstLine="0"/>
      </w:pPr>
      <w:r>
        <w:separator/>
      </w:r>
    </w:p>
  </w:footnote>
  <w:footnote w:type="continuationSeparator" w:id="0">
    <w:p w:rsidR="00257ACA" w:rsidRDefault="00257ACA"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539" w:rsidRDefault="009B2539" w:rsidP="00F321B4">
    <w:pPr>
      <w:pStyle w:val="a6"/>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8C5" w:rsidRDefault="002D48C5" w:rsidP="002D48C5">
    <w:pPr>
      <w:pStyle w:val="a6"/>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1"/>
  </w:num>
  <w:num w:numId="4">
    <w:abstractNumId w:val="1"/>
  </w:num>
  <w:num w:numId="5">
    <w:abstractNumId w:val="3"/>
  </w:num>
  <w:num w:numId="6">
    <w:abstractNumId w:val="3"/>
  </w:num>
  <w:num w:numId="7">
    <w:abstractNumId w:val="2"/>
  </w:num>
  <w:num w:numId="8">
    <w:abstractNumId w:val="4"/>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196E40"/>
    <w:rsid w:val="001A02F0"/>
    <w:rsid w:val="00257ACA"/>
    <w:rsid w:val="002D48C5"/>
    <w:rsid w:val="00307B96"/>
    <w:rsid w:val="0033391C"/>
    <w:rsid w:val="00376167"/>
    <w:rsid w:val="00470E4F"/>
    <w:rsid w:val="004B4EF7"/>
    <w:rsid w:val="00505550"/>
    <w:rsid w:val="00526BF7"/>
    <w:rsid w:val="006D3D23"/>
    <w:rsid w:val="00702852"/>
    <w:rsid w:val="00703637"/>
    <w:rsid w:val="00770C69"/>
    <w:rsid w:val="0078050F"/>
    <w:rsid w:val="008F2D4C"/>
    <w:rsid w:val="009930E4"/>
    <w:rsid w:val="009B2539"/>
    <w:rsid w:val="009F7FCE"/>
    <w:rsid w:val="00B23481"/>
    <w:rsid w:val="00C80E32"/>
    <w:rsid w:val="00CA27A1"/>
    <w:rsid w:val="00CA43E9"/>
    <w:rsid w:val="00CA6613"/>
    <w:rsid w:val="00DC2CA9"/>
    <w:rsid w:val="00E0569B"/>
    <w:rsid w:val="00E16805"/>
    <w:rsid w:val="00E603C7"/>
    <w:rsid w:val="00EC37EE"/>
    <w:rsid w:val="00F321B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6FF1EC"/>
  <w15:docId w15:val="{507489F1-A61C-4354-956C-57CD7192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semiHidden="1"/>
    <w:lsdException w:name="heading 2" w:semiHidden="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E7667"/>
    <w:pPr>
      <w:overflowPunct w:val="0"/>
      <w:autoSpaceDE w:val="0"/>
      <w:autoSpaceDN w:val="0"/>
      <w:adjustRightInd w:val="0"/>
      <w:ind w:firstLine="227"/>
      <w:jc w:val="both"/>
      <w:textAlignment w:val="baseline"/>
    </w:pPr>
    <w:rPr>
      <w:rFonts w:eastAsia="Times New Roman"/>
    </w:rPr>
  </w:style>
  <w:style w:type="paragraph" w:styleId="1">
    <w:name w:val="heading 1"/>
    <w:basedOn w:val="a"/>
    <w:next w:val="p1a"/>
    <w:semiHidden/>
    <w:unhideWhenUsed/>
    <w:qFormat/>
    <w:pPr>
      <w:keepNext/>
      <w:keepLines/>
      <w:suppressAutoHyphens/>
      <w:spacing w:before="360" w:after="240" w:line="300" w:lineRule="atLeast"/>
      <w:ind w:left="567" w:hanging="567"/>
      <w:jc w:val="left"/>
      <w:outlineLvl w:val="0"/>
    </w:pPr>
    <w:rPr>
      <w:b/>
      <w:sz w:val="24"/>
    </w:rPr>
  </w:style>
  <w:style w:type="paragraph" w:styleId="2">
    <w:name w:val="heading 2"/>
    <w:basedOn w:val="a"/>
    <w:next w:val="p1a"/>
    <w:semiHidden/>
    <w:unhideWhenUsed/>
    <w:qFormat/>
    <w:pPr>
      <w:keepNext/>
      <w:keepLines/>
      <w:suppressAutoHyphens/>
      <w:spacing w:before="360" w:after="160"/>
      <w:ind w:left="567" w:hanging="567"/>
      <w:jc w:val="left"/>
      <w:outlineLvl w:val="1"/>
    </w:pPr>
    <w:rPr>
      <w:b/>
    </w:rPr>
  </w:style>
  <w:style w:type="paragraph" w:styleId="3">
    <w:name w:val="heading 3"/>
    <w:basedOn w:val="a"/>
    <w:next w:val="a"/>
    <w:qFormat/>
    <w:pPr>
      <w:spacing w:before="360"/>
      <w:ind w:firstLine="0"/>
      <w:outlineLvl w:val="2"/>
    </w:pPr>
  </w:style>
  <w:style w:type="paragraph" w:styleId="4">
    <w:name w:val="heading 4"/>
    <w:basedOn w:val="a"/>
    <w:next w:val="a"/>
    <w:qFormat/>
    <w:pPr>
      <w:spacing w:before="240"/>
      <w:ind w:firstLine="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pPr>
      <w:spacing w:before="600" w:after="360" w:line="220" w:lineRule="atLeast"/>
      <w:ind w:left="567" w:right="567"/>
      <w:contextualSpacing/>
    </w:pPr>
    <w:rPr>
      <w:sz w:val="18"/>
    </w:rPr>
  </w:style>
  <w:style w:type="paragraph" w:customStyle="1" w:styleId="address">
    <w:name w:val="address"/>
    <w:basedOn w:val="a"/>
    <w:pPr>
      <w:spacing w:after="200" w:line="220" w:lineRule="atLeast"/>
      <w:ind w:firstLine="0"/>
      <w:contextualSpacing/>
      <w:jc w:val="center"/>
    </w:pPr>
    <w:rPr>
      <w:sz w:val="18"/>
    </w:rPr>
  </w:style>
  <w:style w:type="numbering" w:customStyle="1" w:styleId="arabnumitem">
    <w:name w:val="arabnumitem"/>
    <w:basedOn w:val="a2"/>
    <w:pPr>
      <w:numPr>
        <w:numId w:val="5"/>
      </w:numPr>
    </w:pPr>
  </w:style>
  <w:style w:type="paragraph" w:customStyle="1" w:styleId="author">
    <w:name w:val="author"/>
    <w:basedOn w:val="a"/>
    <w:next w:val="address"/>
    <w:pPr>
      <w:spacing w:after="200" w:line="220" w:lineRule="atLeast"/>
      <w:ind w:firstLine="0"/>
      <w:jc w:val="center"/>
    </w:pPr>
  </w:style>
  <w:style w:type="paragraph" w:customStyle="1" w:styleId="bulletitem">
    <w:name w:val="bulletitem"/>
    <w:basedOn w:val="a"/>
    <w:pPr>
      <w:numPr>
        <w:numId w:val="2"/>
      </w:numPr>
      <w:spacing w:before="160" w:after="160"/>
      <w:contextualSpacing/>
    </w:pPr>
  </w:style>
  <w:style w:type="paragraph" w:customStyle="1" w:styleId="dashitem">
    <w:name w:val="dashitem"/>
    <w:basedOn w:val="a"/>
    <w:pPr>
      <w:numPr>
        <w:numId w:val="4"/>
      </w:numPr>
      <w:spacing w:before="160" w:after="160"/>
      <w:contextualSpacing/>
    </w:pPr>
  </w:style>
  <w:style w:type="character" w:customStyle="1" w:styleId="e-mail">
    <w:name w:val="e-mail"/>
    <w:basedOn w:val="a0"/>
    <w:rPr>
      <w:rFonts w:ascii="Courier" w:hAnsi="Courier"/>
      <w:noProof/>
    </w:rPr>
  </w:style>
  <w:style w:type="paragraph" w:customStyle="1" w:styleId="equation">
    <w:name w:val="equation"/>
    <w:basedOn w:val="a"/>
    <w:next w:val="a"/>
    <w:pPr>
      <w:tabs>
        <w:tab w:val="center" w:pos="3289"/>
        <w:tab w:val="right" w:pos="6917"/>
      </w:tabs>
      <w:spacing w:before="160" w:after="160"/>
      <w:ind w:firstLine="0"/>
    </w:pPr>
  </w:style>
  <w:style w:type="paragraph" w:customStyle="1" w:styleId="figurecaption">
    <w:name w:val="figurecaption"/>
    <w:basedOn w:val="a"/>
    <w:next w:val="a"/>
    <w:pPr>
      <w:keepLines/>
      <w:spacing w:before="120" w:after="240" w:line="220" w:lineRule="atLeast"/>
      <w:ind w:firstLine="0"/>
      <w:jc w:val="center"/>
    </w:pPr>
    <w:rPr>
      <w:sz w:val="18"/>
    </w:rPr>
  </w:style>
  <w:style w:type="character" w:styleId="a3">
    <w:name w:val="footnote reference"/>
    <w:basedOn w:val="a0"/>
    <w:semiHidden/>
    <w:unhideWhenUsed/>
    <w:rPr>
      <w:position w:val="0"/>
      <w:vertAlign w:val="superscript"/>
    </w:rPr>
  </w:style>
  <w:style w:type="paragraph" w:styleId="a4">
    <w:name w:val="footer"/>
    <w:basedOn w:val="a"/>
    <w:unhideWhenUsed/>
  </w:style>
  <w:style w:type="paragraph" w:customStyle="1" w:styleId="heading1">
    <w:name w:val="heading1"/>
    <w:basedOn w:val="a"/>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a"/>
    <w:next w:val="p1a"/>
    <w:qFormat/>
    <w:pPr>
      <w:keepNext/>
      <w:keepLines/>
      <w:numPr>
        <w:ilvl w:val="1"/>
        <w:numId w:val="7"/>
      </w:numPr>
      <w:suppressAutoHyphens/>
      <w:spacing w:before="360" w:after="160"/>
      <w:jc w:val="left"/>
      <w:outlineLvl w:val="1"/>
    </w:pPr>
    <w:rPr>
      <w:b/>
    </w:rPr>
  </w:style>
  <w:style w:type="character" w:customStyle="1" w:styleId="heading3">
    <w:name w:val="heading3"/>
    <w:basedOn w:val="a0"/>
    <w:rPr>
      <w:b/>
    </w:rPr>
  </w:style>
  <w:style w:type="character" w:customStyle="1" w:styleId="heading4">
    <w:name w:val="heading4"/>
    <w:basedOn w:val="a0"/>
    <w:rPr>
      <w:i/>
    </w:rPr>
  </w:style>
  <w:style w:type="numbering" w:customStyle="1" w:styleId="headings">
    <w:name w:val="headings"/>
    <w:basedOn w:val="arabnumitem"/>
    <w:pPr>
      <w:numPr>
        <w:numId w:val="7"/>
      </w:numPr>
    </w:pPr>
  </w:style>
  <w:style w:type="character" w:styleId="a5">
    <w:name w:val="Hyperlink"/>
    <w:basedOn w:val="a0"/>
    <w:unhideWhenUsed/>
    <w:rPr>
      <w:color w:val="auto"/>
      <w:u w:val="none"/>
    </w:rPr>
  </w:style>
  <w:style w:type="paragraph" w:customStyle="1" w:styleId="image">
    <w:name w:val="image"/>
    <w:basedOn w:val="a"/>
    <w:next w:val="a"/>
    <w:pPr>
      <w:spacing w:before="240" w:after="120"/>
      <w:ind w:firstLine="0"/>
      <w:jc w:val="center"/>
    </w:pPr>
  </w:style>
  <w:style w:type="numbering" w:customStyle="1" w:styleId="itemization1">
    <w:name w:val="itemization1"/>
    <w:basedOn w:val="a2"/>
    <w:pPr>
      <w:numPr>
        <w:numId w:val="1"/>
      </w:numPr>
    </w:pPr>
  </w:style>
  <w:style w:type="numbering" w:customStyle="1" w:styleId="itemization2">
    <w:name w:val="itemization2"/>
    <w:basedOn w:val="a2"/>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a6">
    <w:name w:val="header"/>
    <w:basedOn w:val="a"/>
    <w:unhideWhenUsed/>
    <w:pPr>
      <w:tabs>
        <w:tab w:val="center" w:pos="4536"/>
        <w:tab w:val="right" w:pos="9072"/>
      </w:tabs>
      <w:ind w:firstLine="0"/>
    </w:pPr>
    <w:rPr>
      <w:sz w:val="18"/>
      <w:szCs w:val="18"/>
    </w:rPr>
  </w:style>
  <w:style w:type="paragraph" w:customStyle="1" w:styleId="numitem">
    <w:name w:val="numitem"/>
    <w:basedOn w:val="a"/>
    <w:pPr>
      <w:numPr>
        <w:numId w:val="6"/>
      </w:numPr>
      <w:spacing w:before="160" w:after="160"/>
      <w:contextualSpacing/>
    </w:pPr>
  </w:style>
  <w:style w:type="paragraph" w:customStyle="1" w:styleId="p1a">
    <w:name w:val="p1a"/>
    <w:basedOn w:val="a"/>
    <w:next w:val="a"/>
    <w:pPr>
      <w:ind w:firstLine="0"/>
    </w:pPr>
  </w:style>
  <w:style w:type="paragraph" w:customStyle="1" w:styleId="programcode">
    <w:name w:val="programcode"/>
    <w:basedOn w:val="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a"/>
    <w:pPr>
      <w:numPr>
        <w:numId w:val="9"/>
      </w:numPr>
      <w:spacing w:line="220" w:lineRule="atLeast"/>
    </w:pPr>
    <w:rPr>
      <w:sz w:val="18"/>
    </w:rPr>
  </w:style>
  <w:style w:type="numbering" w:customStyle="1" w:styleId="referencelist">
    <w:name w:val="referencelist"/>
    <w:basedOn w:val="a2"/>
    <w:semiHidden/>
    <w:pPr>
      <w:numPr>
        <w:numId w:val="8"/>
      </w:numPr>
    </w:pPr>
  </w:style>
  <w:style w:type="paragraph" w:customStyle="1" w:styleId="runninghead-left">
    <w:name w:val="running head - left"/>
    <w:basedOn w:val="a"/>
    <w:pPr>
      <w:ind w:firstLine="0"/>
      <w:jc w:val="left"/>
    </w:pPr>
    <w:rPr>
      <w:sz w:val="18"/>
      <w:szCs w:val="18"/>
    </w:rPr>
  </w:style>
  <w:style w:type="paragraph" w:customStyle="1" w:styleId="runninghead-right">
    <w:name w:val="running head - right"/>
    <w:basedOn w:val="a"/>
    <w:pPr>
      <w:ind w:firstLine="0"/>
      <w:jc w:val="right"/>
    </w:pPr>
    <w:rPr>
      <w:bCs/>
      <w:sz w:val="18"/>
      <w:szCs w:val="18"/>
    </w:rPr>
  </w:style>
  <w:style w:type="character" w:styleId="a7">
    <w:name w:val="page number"/>
    <w:basedOn w:val="a0"/>
    <w:semiHidden/>
    <w:unhideWhenUsed/>
    <w:rPr>
      <w:sz w:val="18"/>
    </w:rPr>
  </w:style>
  <w:style w:type="paragraph" w:customStyle="1" w:styleId="papertitle">
    <w:name w:val="papertitle"/>
    <w:basedOn w:val="a"/>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a"/>
    <w:next w:val="a"/>
    <w:pPr>
      <w:keepNext/>
      <w:keepLines/>
      <w:spacing w:before="240" w:after="120" w:line="220" w:lineRule="atLeast"/>
      <w:ind w:firstLine="0"/>
      <w:jc w:val="center"/>
    </w:pPr>
    <w:rPr>
      <w:sz w:val="18"/>
    </w:rPr>
  </w:style>
  <w:style w:type="character" w:customStyle="1" w:styleId="url">
    <w:name w:val="url"/>
    <w:basedOn w:val="a0"/>
    <w:rPr>
      <w:rFonts w:ascii="Courier" w:hAnsi="Courier"/>
      <w:noProof/>
    </w:rPr>
  </w:style>
  <w:style w:type="character" w:customStyle="1" w:styleId="ORCID">
    <w:name w:val="ORCID"/>
    <w:basedOn w:val="a0"/>
    <w:rPr>
      <w:position w:val="0"/>
      <w:vertAlign w:val="superscript"/>
    </w:rPr>
  </w:style>
  <w:style w:type="paragraph" w:styleId="a8">
    <w:name w:val="footnote text"/>
    <w:basedOn w:val="a"/>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table" w:styleId="a9">
    <w:name w:val="Table Grid"/>
    <w:basedOn w:val="a1"/>
    <w:semiHidden/>
    <w:rsid w:val="00196E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196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Larissa-Design">
  <a:themeElements>
    <a:clrScheme name="Larissa">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Props/app.xml><?xml version="1.0" encoding="utf-8"?>
<Properties xmlns="http://schemas.openxmlformats.org/officeDocument/2006/extended-properties" xmlns:vt="http://schemas.openxmlformats.org/officeDocument/2006/docPropsVTypes">
  <Template>Normal.dotm</Template>
  <TotalTime>30</TotalTime>
  <Pages>6</Pages>
  <Words>2018</Words>
  <Characters>11504</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dataspect IT-Services, Neckargemuend, Germany</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Jiang LIU</cp:lastModifiedBy>
  <cp:revision>4</cp:revision>
  <dcterms:created xsi:type="dcterms:W3CDTF">2024-08-26T07:47:00Z</dcterms:created>
  <dcterms:modified xsi:type="dcterms:W3CDTF">2024-10-07T10:19:00Z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id="WDrGfdOS"/&gt;&lt;style id="" hasBibliography="0" bibliographyStyleHasBeenSet="0"/&gt;&lt;prefs/&gt;&lt;/data&gt;</vt:lpwstr>
  </property>
</Properties>
</file>