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E4ABA4" w14:textId="4504D1B4" w:rsidR="00584E20" w:rsidRPr="009B6097" w:rsidRDefault="00582EAB" w:rsidP="009B6097">
      <w:pPr>
        <w:pStyle w:val="IJNEAMTitle"/>
        <w:rPr>
          <w:sz w:val="24"/>
          <w:szCs w:val="24"/>
        </w:rPr>
      </w:pPr>
      <w:r>
        <w:t>C</w:t>
      </w:r>
      <w:r w:rsidR="00446E9A">
        <w:t>omparative A</w:t>
      </w:r>
      <w:r w:rsidR="00D70946">
        <w:t xml:space="preserve">nalysis </w:t>
      </w:r>
      <w:r w:rsidR="00E546FE">
        <w:t xml:space="preserve">of Bovine Serum Albumin </w:t>
      </w:r>
      <w:r w:rsidR="00F5672F">
        <w:t xml:space="preserve">Detection Using </w:t>
      </w:r>
      <w:r w:rsidR="00E45233">
        <w:t>Cuvettes</w:t>
      </w:r>
      <w:r w:rsidR="00392704">
        <w:t xml:space="preserve">, Biofunctionalized </w:t>
      </w:r>
      <w:r w:rsidR="00632733">
        <w:t>and Non</w:t>
      </w:r>
      <w:r w:rsidR="008F07D8">
        <w:t>-Biofunctionalized</w:t>
      </w:r>
      <w:r w:rsidR="00513CEA">
        <w:t xml:space="preserve"> Tapered </w:t>
      </w:r>
      <w:r w:rsidR="00C514DD">
        <w:t>Optical Fiber</w:t>
      </w:r>
    </w:p>
    <w:p w14:paraId="309976B0" w14:textId="5ED51B4C" w:rsidR="00584E20" w:rsidRPr="00F314EA" w:rsidRDefault="00237FA0" w:rsidP="009B6097">
      <w:pPr>
        <w:pStyle w:val="IJNEAMAuthorNames"/>
        <w:rPr>
          <w:vertAlign w:val="superscript"/>
        </w:rPr>
      </w:pPr>
      <w:r w:rsidRPr="00237FA0">
        <w:t>Nur Nadia Bachok</w:t>
      </w:r>
      <w:r w:rsidRPr="0083659C">
        <w:rPr>
          <w:vertAlign w:val="superscript"/>
        </w:rPr>
        <w:t>a</w:t>
      </w:r>
      <w:r w:rsidRPr="00237FA0">
        <w:t>, Norhafizah Burham</w:t>
      </w:r>
      <w:r w:rsidRPr="005510FE">
        <w:rPr>
          <w:vertAlign w:val="superscript"/>
        </w:rPr>
        <w:t>b</w:t>
      </w:r>
      <w:r w:rsidRPr="00237FA0">
        <w:t>, Ahmad Razi Othman</w:t>
      </w:r>
      <w:r w:rsidRPr="005510FE">
        <w:rPr>
          <w:vertAlign w:val="superscript"/>
        </w:rPr>
        <w:t>c</w:t>
      </w:r>
      <w:r w:rsidRPr="00237FA0">
        <w:t>, Nurul Huda Abd Karim</w:t>
      </w:r>
      <w:r w:rsidRPr="005510FE">
        <w:rPr>
          <w:vertAlign w:val="superscript"/>
        </w:rPr>
        <w:t>d</w:t>
      </w:r>
      <w:r w:rsidRPr="00237FA0">
        <w:t>, Ahmad Ashrif A Bakar</w:t>
      </w:r>
      <w:r w:rsidRPr="005C37AE">
        <w:rPr>
          <w:vertAlign w:val="superscript"/>
        </w:rPr>
        <w:t xml:space="preserve">a </w:t>
      </w:r>
      <w:r w:rsidR="00AB07C6">
        <w:rPr>
          <w:vertAlign w:val="superscript"/>
        </w:rPr>
        <w:t xml:space="preserve"> </w:t>
      </w:r>
      <w:r w:rsidR="00AB07C6">
        <w:t>Retna Apsari</w:t>
      </w:r>
      <w:r w:rsidR="00AB07C6" w:rsidRPr="00AB07C6">
        <w:rPr>
          <w:color w:val="EE0000"/>
          <w:vertAlign w:val="superscript"/>
        </w:rPr>
        <w:t>e</w:t>
      </w:r>
      <w:r w:rsidR="00AB07C6">
        <w:rPr>
          <w:vertAlign w:val="superscript"/>
        </w:rPr>
        <w:t xml:space="preserve"> </w:t>
      </w:r>
      <w:r w:rsidR="00AB07C6">
        <w:t>a</w:t>
      </w:r>
      <w:r w:rsidRPr="00237FA0">
        <w:t>nd Norhana Arsad</w:t>
      </w:r>
      <w:r w:rsidRPr="00DF7692">
        <w:rPr>
          <w:vertAlign w:val="superscript"/>
        </w:rPr>
        <w:t xml:space="preserve">a </w:t>
      </w:r>
      <w:r w:rsidRPr="00DF7692">
        <w:t>*</w:t>
      </w:r>
    </w:p>
    <w:p w14:paraId="0A6B1C0D" w14:textId="71D0E18F" w:rsidR="00953AFB" w:rsidRDefault="00584E20" w:rsidP="00AB07C6">
      <w:pPr>
        <w:pStyle w:val="IJNEAMAffiliations"/>
      </w:pPr>
      <w:r w:rsidRPr="00F314EA">
        <w:rPr>
          <w:vertAlign w:val="superscript"/>
        </w:rPr>
        <w:t>a</w:t>
      </w:r>
      <w:r w:rsidR="00A05873" w:rsidRPr="00A05873">
        <w:t>Photonics Technology Laboratory, Department of Electrical, Electronic and Systems Engineering, Faculty of Engineering and Built Environment, Universiti Kebangsaan Malaysia, 43600 UKM Bangi, Selangor, Malaysia</w:t>
      </w:r>
      <w:r w:rsidR="009B6097">
        <w:br/>
      </w:r>
      <w:r w:rsidRPr="00F314EA">
        <w:rPr>
          <w:vertAlign w:val="superscript"/>
        </w:rPr>
        <w:t>b</w:t>
      </w:r>
      <w:r w:rsidR="005D04F7" w:rsidRPr="005D04F7">
        <w:t xml:space="preserve"> Integrated Microelectronics System and Applications (IMSaA), School of Electrical Engineering, College of Engineering, Universiti Teknologi MARA, 40450 Shah Alam, Selangor, Malaysia</w:t>
      </w:r>
      <w:r w:rsidR="009B6097">
        <w:br/>
      </w:r>
      <w:r w:rsidR="00F53822" w:rsidRPr="00F314EA">
        <w:rPr>
          <w:vertAlign w:val="superscript"/>
        </w:rPr>
        <w:t>c</w:t>
      </w:r>
      <w:r w:rsidR="005A077D" w:rsidRPr="005A077D">
        <w:t>Department of Chemical and Process Engineering, Faculty of Engineering and Built Environment, Universiti Kebangsaan Malaysia, 43600 UKM Bangi, Selangor, Malaysia</w:t>
      </w:r>
      <w:r w:rsidR="00D113B9">
        <w:br/>
      </w:r>
      <w:r w:rsidR="005A077D" w:rsidRPr="005A077D">
        <w:t xml:space="preserve"> </w:t>
      </w:r>
      <w:r w:rsidR="00D113B9" w:rsidRPr="00D113B9">
        <w:rPr>
          <w:vertAlign w:val="superscript"/>
        </w:rPr>
        <w:t>d</w:t>
      </w:r>
      <w:r w:rsidR="00D113B9" w:rsidRPr="00D113B9">
        <w:t>Department of Chemical Science, Faculty of Science and Technology, Universiti Kebangsaan Malaysia, 43600 UKM Bangi, Selangor, Malaysia</w:t>
      </w:r>
      <w:r w:rsidR="005A077D">
        <w:br/>
      </w:r>
      <w:r w:rsidR="00AB07C6" w:rsidRPr="00AB07C6">
        <w:rPr>
          <w:vertAlign w:val="superscript"/>
        </w:rPr>
        <w:t>e</w:t>
      </w:r>
      <w:r w:rsidR="00AB07C6" w:rsidRPr="00AB07C6">
        <w:t>Department of Engineering, Faculty of Advanced Technology and Multidiscipline, Universitas Airlangga, Jl. Mulyorejo, Surabaya 60115, Indonesia</w:t>
      </w:r>
      <w:r w:rsidR="009B6097" w:rsidRPr="00AB07C6">
        <w:br/>
      </w:r>
      <w:r w:rsidR="00953AFB" w:rsidRPr="00F314EA">
        <w:sym w:font="Symbol" w:char="F02A"/>
      </w:r>
      <w:r w:rsidR="00953AFB" w:rsidRPr="00F314EA">
        <w:t xml:space="preserve"> Corresponding author. Tel.: </w:t>
      </w:r>
      <w:r w:rsidR="004A05EA" w:rsidRPr="004A05EA">
        <w:t>03-8911-8363</w:t>
      </w:r>
      <w:r w:rsidR="00953AFB" w:rsidRPr="00F314EA">
        <w:t xml:space="preserve">; e-mail: </w:t>
      </w:r>
      <w:r w:rsidR="006C5C05">
        <w:t>noa</w:t>
      </w:r>
      <w:r w:rsidR="006C5C05" w:rsidRPr="00F314EA">
        <w:t>@</w:t>
      </w:r>
      <w:r w:rsidR="006C5C05">
        <w:t>ukm.edu.my</w:t>
      </w:r>
    </w:p>
    <w:p w14:paraId="4A1FD798" w14:textId="77777777" w:rsidR="00A2508D" w:rsidRPr="00F314EA" w:rsidRDefault="00A2508D" w:rsidP="00A2508D">
      <w:pPr>
        <w:pStyle w:val="IJNEAMPubInfo"/>
      </w:pPr>
      <w:r w:rsidRPr="00A2508D">
        <w:t xml:space="preserve">Received </w:t>
      </w:r>
      <w:r>
        <w:t>XXX</w:t>
      </w:r>
      <w:r w:rsidRPr="00A2508D">
        <w:t xml:space="preserve"> 2023, Revised </w:t>
      </w:r>
      <w:r>
        <w:t>XXX</w:t>
      </w:r>
      <w:r w:rsidRPr="00A2508D">
        <w:t xml:space="preserve"> 2023, Accepted </w:t>
      </w:r>
      <w:r>
        <w:t>XXX</w:t>
      </w:r>
      <w:r w:rsidRPr="00A2508D">
        <w:t xml:space="preserve"> 2023</w:t>
      </w:r>
    </w:p>
    <w:p w14:paraId="429EB6E3" w14:textId="77777777" w:rsidR="00F314EA" w:rsidRPr="00F314EA" w:rsidRDefault="00F314EA" w:rsidP="009B6097">
      <w:pPr>
        <w:pStyle w:val="IJNEAMAbstractTitle"/>
      </w:pPr>
      <w:r w:rsidRPr="00F314EA">
        <w:t>ABSTRACT</w:t>
      </w:r>
    </w:p>
    <w:p w14:paraId="5DDB060B" w14:textId="06C7B33B" w:rsidR="00F314EA" w:rsidRPr="000C539B" w:rsidRDefault="006D5735" w:rsidP="009B6097">
      <w:pPr>
        <w:pStyle w:val="IJNEAMAbstracText"/>
        <w:rPr>
          <w:color w:val="EE0000"/>
        </w:rPr>
      </w:pPr>
      <w:r w:rsidRPr="006D5735">
        <w:t>Advances in optical sensor technologies have been substantial in recent years, especially in the detection of biomolecules like Bovine Serum Albumin (BSA), driven by the need for more sensitive and precise diagnostic tools. The detection of BSA plays a critical role, particularly in the early diagnostic tools for chronic kidney disease. This work aims to investigate the performance of three different BSA detection methods: biofunctionalized and non-biofunctionalized tapered optical fiber sensors, and conventional cuvettes. This study conducted an experimental investigation, utilizing 3.5 ml cuvette and tapered optical fibers with design parameters including upper and lower taper lengths of 10 mm, a waist length of 10 mm, and a waist diameter of 10 µm. The sensors were fabricated using the Vytran GPX 3400 machine. Measurements of time response, intensity, and absorbance were carried out using a Deuterium-Tungsten DT-2-GS light source and an Ocean Optics Flame spectrometer. The biofunctionalization of the sensing area involved three sequential steps: hydroxylation with a 0.1M sodium hydroxide solution, salinization with a 2% (3-aminopropyl) triethoxysilane solution, and aldehyde activation using a 2% glutaraldehyde solution. The experiment used 120 ml of BSA solutions at concentrations of 31.25 mg/d</w:t>
      </w:r>
      <w:r w:rsidR="000F421F">
        <w:t>L</w:t>
      </w:r>
      <w:r w:rsidRPr="006D5735">
        <w:t>, 62.5 mg/d</w:t>
      </w:r>
      <w:r w:rsidR="000F421F">
        <w:t>L</w:t>
      </w:r>
      <w:r w:rsidRPr="006D5735">
        <w:t>, and 125 mg/d</w:t>
      </w:r>
      <w:r w:rsidR="000F421F">
        <w:t>L</w:t>
      </w:r>
      <w:r w:rsidRPr="006D5735">
        <w:t>. Each method exhibits a unique spectral response across the ultraviolet, visible, and near-infrared, regions. Both intensity and absorbance assessments reveal a significant reduction in sensitivity when transitioning from the cuvette to the tapered optical fiber. Notably, the sensitivity decreases by 99.96% for intensity measurements and by 97.76% for absorbance. Nonetheless, after biofunctionalization, the tapered optical fiber's sensitivity increased, showing a 207.</w:t>
      </w:r>
      <w:r w:rsidR="000C539B">
        <w:t>1</w:t>
      </w:r>
      <w:r w:rsidRPr="006D5735">
        <w:t xml:space="preserve">% increase in absorbance and a 1494.72% increase in intensity </w:t>
      </w:r>
      <w:r w:rsidRPr="00E04F7A">
        <w:rPr>
          <w:color w:val="000000" w:themeColor="text1"/>
        </w:rPr>
        <w:t>measurements</w:t>
      </w:r>
      <w:r w:rsidR="000C539B" w:rsidRPr="00E04F7A">
        <w:rPr>
          <w:color w:val="000000" w:themeColor="text1"/>
        </w:rPr>
        <w:t xml:space="preserve"> compared to the non-bio functionalized tapered </w:t>
      </w:r>
      <w:r w:rsidR="000C539B" w:rsidRPr="000C539B">
        <w:rPr>
          <w:color w:val="EE0000"/>
        </w:rPr>
        <w:t>optical fiber</w:t>
      </w:r>
      <w:r w:rsidRPr="000C539B">
        <w:rPr>
          <w:color w:val="EE0000"/>
        </w:rPr>
        <w:t>.</w:t>
      </w:r>
    </w:p>
    <w:p w14:paraId="76FE01E6" w14:textId="1A73FA08" w:rsidR="00F314EA" w:rsidRPr="00A047B0" w:rsidRDefault="00F314EA" w:rsidP="00991CF3">
      <w:pPr>
        <w:pStyle w:val="IJNEAMKeyword"/>
      </w:pPr>
      <w:r w:rsidRPr="00FA5A96">
        <w:rPr>
          <w:b/>
          <w:bCs/>
          <w:i w:val="0"/>
        </w:rPr>
        <w:t>Keywords:</w:t>
      </w:r>
      <w:r w:rsidRPr="00F314EA">
        <w:t xml:space="preserve"> </w:t>
      </w:r>
      <w:r w:rsidR="00255B94" w:rsidRPr="00255B94">
        <w:t>Spectrometer, bovine serum albumin, intensity, absorbance, tapered optical fiber, biofunctionalized, biosensor</w:t>
      </w:r>
    </w:p>
    <w:p w14:paraId="099BD37D" w14:textId="77777777" w:rsidR="00F314EA" w:rsidRPr="00A047B0" w:rsidRDefault="00F314EA" w:rsidP="00F314EA">
      <w:pPr>
        <w:sectPr w:rsidR="00F314EA" w:rsidRPr="00A047B0" w:rsidSect="00F04D54">
          <w:headerReference w:type="even" r:id="rId11"/>
          <w:headerReference w:type="default" r:id="rId12"/>
          <w:footerReference w:type="default" r:id="rId13"/>
          <w:headerReference w:type="first" r:id="rId14"/>
          <w:footerReference w:type="first" r:id="rId15"/>
          <w:pgSz w:w="11906" w:h="16838" w:code="9"/>
          <w:pgMar w:top="288" w:right="849" w:bottom="720" w:left="720" w:header="2268" w:footer="238" w:gutter="0"/>
          <w:lnNumType w:countBy="1" w:restart="newSection"/>
          <w:pgNumType w:start="1"/>
          <w:cols w:space="720"/>
          <w:titlePg/>
          <w:docGrid w:linePitch="272"/>
        </w:sectPr>
      </w:pPr>
    </w:p>
    <w:p w14:paraId="3A0D0A7F" w14:textId="77777777" w:rsidR="00584E20" w:rsidRPr="00FA5A96" w:rsidRDefault="00F234EF" w:rsidP="00FA5A96">
      <w:pPr>
        <w:pStyle w:val="Heading1"/>
      </w:pPr>
      <w:bookmarkStart w:id="0" w:name="InstructionText"/>
      <w:r w:rsidRPr="00F314EA">
        <w:t>INTRODUCTION</w:t>
      </w:r>
    </w:p>
    <w:p w14:paraId="65D3230F" w14:textId="0FE83A55" w:rsidR="0008674F" w:rsidRDefault="0008674F" w:rsidP="0008674F">
      <w:pPr>
        <w:pStyle w:val="IJNEAMParagraph"/>
      </w:pPr>
      <w:r>
        <w:t xml:space="preserve">Optical technologies have significantly impacted us in various sectors, including </w:t>
      </w:r>
      <w:r w:rsidR="00CF4A5E">
        <w:t xml:space="preserve">security </w:t>
      </w:r>
      <w:r w:rsidR="007B5937">
        <w:fldChar w:fldCharType="begin" w:fldLock="1"/>
      </w:r>
      <w:r w:rsidR="00A50E66">
        <w:instrText>ADDIN CSL_CITATION {"citationItems":[{"id":"ITEM-1","itemData":{"DOI":"10.3390/s22239515","ISSN":"14248220","abstract":"Fiber-optic network infrastructures are crucial for the transmission of data over long and short distances. Fiber optics are also preferred for the infrastructure of in-building data communications. In this study, we use polarization analysis to ensure the security of the optical fiber/cables of the physical layer. This method exploits the changes induced by mechanical vibrations to polarization states, which can be easily detected using a polarization beam splitter and a balancing photodetector. We use machine learning to classify selected events that violate the safety of the physical layer, such as manipulation or temporary disconnection of connectors. The results show the resting state can be accurately distinguished from selected security breaches for a fiber route subjected to environmental disturbances, where individual events can be classified with nearly 99% accuracy.","author":[{"dropping-particle":"","family":"Ruzicka","given":"Michal","non-dropping-particle":"","parse-names":false,"suffix":""},{"dropping-particle":"","family":"Jabloncik","given":"Lukas","non-dropping-particle":"","parse-names":false,"suffix":""},{"dropping-particle":"","family":"Dejdar","given":"Petr","non-dropping-particle":"","parse-names":false,"suffix":""},{"dropping-particle":"","family":"Tomasov","given":"Adrian","non-dropping-particle":"","parse-names":false,"suffix":""},{"dropping-particle":"","family":"Spurny","given":"Vladimir","non-dropping-particle":"","parse-names":false,"suffix":""},{"dropping-particle":"","family":"Munster","given":"Petr","non-dropping-particle":"","parse-names":false,"suffix":""}],"container-title":"Sensors","id":"ITEM-1","issue":"23","issued":{"date-parts":[["2022"]]},"title":"Classification of Events Violating the Safety of Physical Layers in Fiber-Optic Network Infrastructures","type":"article-journal","volume":"22"},"uris":["http://www.mendeley.com/documents/?uuid=41d730ac-4ca0-4863-9402-f681c3c22bc6"]},{"id":"ITEM-2","itemData":{"DOI":"10.3390/app12136643","ISSN":"20763417","abstract":"This paper presents a high-precision transfer system of time and RF frequency via the fiber optic link based on secure encryption. On the basis of the two-way time transfer of optical fiber, a security strategy composed of an SM2 encryption algorithm is introduced, which can resist the security risk of time information being tampered with. The experimental results show that the developed picosecond-precision fiber-optic time transfer equipment can ensure high stability while realizing the encryption function. Time synchronization stability in terms of time deviation (TDEV) of 1 PPS can reach around 10.7 ps at 1 s and 7.1 ps at 10 s averaging time. The stability of the 10 MHz frequency can reach around 4.7 × 10−12 at 1 s and 1.1 × 10−12 at 10 s averaging time. There is no significant difference in time transfer accuracy, compared with unencrypted conditions. Furthermore, this paper realizes a ring time transfer network via a 150 km fiber-optic link with three nodes using three devices. The TDEV of 1PPS can reach around 20.8 ps at 1s averaging time. This paper provides a reference to establish a high-precision, safe, and stable time synchronization fiber network in the future.","author":[{"dropping-particle":"","family":"Guo","given":"Xinxing","non-dropping-particle":"","parse-names":false,"suffix":""},{"dropping-particle":"","family":"Qiu","given":"Yanfeng","non-dropping-particle":"","parse-names":false,"suffix":""},{"dropping-particle":"","family":"Liu","given":"Bo","non-dropping-particle":"","parse-names":false,"suffix":""},{"dropping-particle":"","family":"Kong","given":"Weicheng","non-dropping-particle":"","parse-names":false,"suffix":""},{"dropping-particle":"","family":"Liu","given":"Tao","non-dropping-particle":"","parse-names":false,"suffix":""},{"dropping-particle":"","family":"Dong","given":"Ruifang","non-dropping-particle":"","parse-names":false,"suffix":""},{"dropping-particle":"","family":"Zhang","given":"Shougang","non-dropping-particle":"","parse-names":false,"suffix":""}],"container-title":"Applied Sciences (Switzerland)","id":"ITEM-2","issue":"13","issued":{"date-parts":[["2022"]]},"title":"A High-Precision Transfer of Time and RF Frequency via the Fiber-Optic Link Based on Secure Encryption","type":"article-journal","volume":"12"},"uris":["http://www.mendeley.com/documents/?uuid=056789c4-cfc7-49f1-ade5-d69e03be9ab8"]}],"mendeley":{"formattedCitation":"[1], [2]","plainTextFormattedCitation":"[1], [2]","previouslyFormattedCitation":"[1], [2]"},"properties":{"noteIndex":0},"schema":"https://github.com/citation-style-language/schema/raw/master/csl-citation.json"}</w:instrText>
      </w:r>
      <w:r w:rsidR="007B5937">
        <w:fldChar w:fldCharType="separate"/>
      </w:r>
      <w:r w:rsidR="004212B6" w:rsidRPr="004212B6">
        <w:rPr>
          <w:noProof/>
        </w:rPr>
        <w:t>[1], [2]</w:t>
      </w:r>
      <w:r w:rsidR="007B5937">
        <w:fldChar w:fldCharType="end"/>
      </w:r>
      <w:r>
        <w:t>, communication,</w:t>
      </w:r>
      <w:r w:rsidR="006A6C8A">
        <w:t xml:space="preserve"> </w:t>
      </w:r>
      <w:r w:rsidR="00E776D0">
        <w:fldChar w:fldCharType="begin" w:fldLock="1"/>
      </w:r>
      <w:r w:rsidR="001D75F4" w:rsidRPr="00E04DFC">
        <w:instrText>ADDIN CSL_CITATION {"citationItems":[{"id":"ITEM-1","itemData":{"author":[{"dropping-particle":"","family":"Liu","given":"Li","non-dropping-particle":"","parse-names":false,"suffix":""},{"dropping-particle":"","family":"Liu","given":"Yangguang","non-dropping-particle":"","parse-names":false,"suffix":""},{"dropping-particle":"","family":"Gao","given":"Xiao-zhi","non-dropping-particle":"","parse-names":false,"suffix":""}],"container-title":"Applied Sciences (Switzerland)","id":"ITEM-1","issue":"11","issued":{"date-parts":[["2021"]]},"page":"10742","title":"Flexible Ultra-Wide Electro-Optic Frequency Combs for a High-Capacity Tunable 5G+ Millimeter-Wave Frequency Synthesizer Li","type":"article-journal","volume":"22"},"uris":["http://www.mendeley.com/documents/?uuid=6dcb0905-2ddc-405e-9718-6b385e7a92c2"]},{"id":"ITEM-2","itemData":{"DOI":"10.1016/j.ijleo.2021.168545","ISSN":"00304026","abstract":"Latest advancements in fiber optic communication have gained significant attention among researchers owing to many benefits such as high data rate, acceptable cost, bandwidth, low attenuation, etc. Fiber optic networks are found to be a commonly utilized platform to transfer data in several applications such as personal, commercial, military areas, etc. Although fiber optic networks are highly beneficial, security remains a challenging design issue. Numerous state of art works has been developed to achieve security in fiber optic communication. Among the various methods, compression then encryption is an effective way to effectively and securely transmit the data. With this motivation, this paper presents a new Low Complexity Compression Then Encryption using Optimal Homomorphic Encryption (LCCE-OHE) technique for secured fiber optic communication. The proposed LCCE-OHE technique operates on two major phases namely compression and encryption. At the first stage, low complexity compression using Neighboring Indexing Sequence (NIS) with Deflate algorithm, named Normalized Information Distance (NID) is used. Besides, in the second stage, Quasi Oppositional Sail Fish Optimizer with Homomorphic Encryption (QOSFO-HE) technique is employed. The QOSFO algorithm is derived by incorporating the quasi oppositional learning (QOBL) concept to the SFO algorithm and is applied to optimally select the encryption keys. The performance validation of the proposed model takes place on two benchmark datasets and the experimental results are examined interms of different performance measures. The experimental values highlighted the improved compression efficiency and security level of the LCCE-OHE technique over the other techniques.","author":[{"dropping-particle":"","family":"Venu","given":"D.","non-dropping-particle":"","parse-names":false,"suffix":""},{"dropping-particle":"","family":"Mayuri","given":"A. V.R.","non-dropping-particle":"","parse-names":false,"suffix":""},{"dropping-particle":"","family":"Neelakandan","given":"S.","non-dropping-particle":"","parse-names":false,"suffix":""},{"dropping-particle":"","family":"Murthy","given":"G. L.N.","non-dropping-particle":"","parse-names":false,"suffix":""},{"dropping-particle":"","family":"Arulkumar","given":"N.","non-dropping-particle":"","parse-names":false,"suffix":""},{"dropping-particle":"","family":"Shelke","given":"Nilesh","non-dropping-particle":"","parse-names":false,"suffix":""}],"container-title":"Optik","id":"ITEM-2","issue":"December 2021","issued":{"date-parts":[["2022"]]},"page":"168545","publisher":"Elsevier GmbH","title":"An efficient low complexity compression based optimal homomorphic encryption for secure fiber optic communication","type":"article-journal","volume":"252"},"uris":["http://www.mendeley.com/documents/?uuid=ac5ec15f-ec26-450b-b935-72fc15b04cb3"]}],"mendeley":{"formattedCitation":"[3], [4]","plainTextFormattedCitation":"[3], [4]","previouslyFormattedCitation":"[3], [4]"},"properties":{"noteIndex":0},"schema":"https://github.com/citation-style-language/schema/raw/master/csl-citation.json"}</w:instrText>
      </w:r>
      <w:r w:rsidR="00E776D0">
        <w:fldChar w:fldCharType="separate"/>
      </w:r>
      <w:r w:rsidR="00E776D0" w:rsidRPr="00E04DFC">
        <w:rPr>
          <w:noProof/>
        </w:rPr>
        <w:t>[3], [4]</w:t>
      </w:r>
      <w:r w:rsidR="00E776D0">
        <w:fldChar w:fldCharType="end"/>
      </w:r>
      <w:r>
        <w:t>, imaging</w:t>
      </w:r>
      <w:r w:rsidR="006B5492">
        <w:t xml:space="preserve"> </w:t>
      </w:r>
      <w:r w:rsidR="001D75F4">
        <w:fldChar w:fldCharType="begin" w:fldLock="1"/>
      </w:r>
      <w:r w:rsidR="00F00A4D">
        <w:instrText>ADDIN CSL_CITATION {"citationItems":[{"id":"ITEM-1","itemData":{"DOI":"10.1364/ol.444889","ISSN":"0146-9592","PMID":"34780457","abstract":" Photoacoustic (PA) remote sensing (PARS) microscopy, featured by non-contact operation, has shown great potential for PA microscopy (PAM) imaging applications. However, current PARS microscopy systems are mainly based on free-space light, making the imaging head bulky and inconvenient to use. These issues hinder selected applications such as PA endoscopy and handheld PAM. Here, we report a miniature probe capable of non-contact PAM based on PARS microscopy. By utilizing fiber-optic components including a wavelength division multiplexer and an optical circulator, the imaging head can be highly miniaturized with a diameter of     ∼     3.0     m m     . Also, since all light is transmitted via fibers, the fiber-optic PARS microscopy system is relatively easy to build and facilitates scanning of the probe. In vivo imaging of a zebrafish larva and imaging of lithium metal batteries are conducted using the probe, showing its good imaging capability. ","author":[{"dropping-particle":"","family":"Zhou","given":"Jiasheng","non-dropping-particle":"","parse-names":false,"suffix":""},{"dropping-particle":"","family":"Zhou","given":"Jingying","non-dropping-particle":"","parse-names":false,"suffix":""},{"dropping-particle":"","family":"Wang","given":"Wei","non-dropping-particle":"","parse-names":false,"suffix":""},{"dropping-particle":"","family":"Liang","given":"Siqi","non-dropping-particle":"","parse-names":false,"suffix":""},{"dropping-particle":"","family":"Jing","given":"Lili","non-dropping-particle":"","parse-names":false,"suffix":""},{"dropping-particle":"","family":"Bo","given":"Shou-Hang","non-dropping-particle":"","parse-names":false,"suffix":""},{"dropping-particle":"","family":"Chen","given":"Sung-Liang","non-dropping-particle":"","parse-names":false,"suffix":""}],"container-title":"Optics Letters","id":"ITEM-1","issue":"22","issued":{"date-parts":[["2021"]]},"page":"5767","title":"Miniature non-contact photoacoustic probe based on fiber-optic photoacoustic remote sensing microscopy","type":"article-journal","volume":"46"},"uris":["http://www.mendeley.com/documents/?uuid=2c344d11-312e-45e0-aa19-1cc18968d84b"]},{"id":"ITEM-2","itemData":{"DOI":"10.3390/rs13204069","ISSN":"20724292","abstract":"Unmanned aerial vehicle (UAV) hyperspectral remote sensing technologies have unique advantages in high-precision quantitative analysis of non-contact water surface source concentration. Improving the accuracy of non-point source detection is a difficult engineering problem. To facilitate water surface remote sensing, imaging, and spectral analysis activities, a UAV-based hyperspectral imaging remote sensing system was designed. Its prototype was built, and laboratory calibration and a joint air–ground water quality monitoring activity were performed. The hyperspectral imaging remote sensing system of UAV comprised a light and small UAV platform, spectral scanning hyperspectral imager, and data acquisition and control unit. The spectral principle of the hyperspectral imager is based on the new high-performance acousto-optic tunable (AOTF) technology. During laboratory calibration, the spectral calibration of the imaging spectrometer and image preprocessing in data acquisition were completed. In the UAV air–ground joint experiment, combined with the typical water bodies of the Yangtze River mainstream, the Three Gorges demonstration area, and the Poyang Lake demonstration area, the hyperspectral data cubes of the corresponding water areas were obtained, and geometric registration was completed. Thus, a large field-of-view mosaic and water radiation calibration were realized. A chlorophyl-a (Chl-a) sensor was used to test the actual water control points, and 11 traditional Chl-a sensitive spectrum selection algorithms were analyzed and compared. A random forest algorithm was used to establish a prediction model of water surface spectral reflectance and water quality parameter concentration. Compared with the back propagation neural network, partial least squares, and PSO-LSSVM algorithms, the accuracy of the RF algorithm in predicting Chl-a was significantly improved. The determination coefficient of the training samples was 0.84; root mean square error, 3.19 µg/L; and mean absolute percentage error, 5.46%. The established Chl-a inversion model was applied to UAV hyperspectral remote sensing images. The predicted Chl-a distribution agreed with the field observation results, indicating that the UAV-borne hyperspectral remote sensing water quality monitoring system based on AOTF is a promising remote sensing imaging spectral analysis tool for water.","author":[{"dropping-particle":"","family":"Liu","given":"Hong","non-dropping-particle":"","parse-names":false,"suffix":""},{"dropping-particle":"","family":"Yu","given":"Tao","non-dropping-particle":"","parse-names":false,"suffix":""},{"dropping-particle":"","family":"Hu","given":"Bingliang","non-dropping-particle":"","parse-names":false,"suffix":""},{"dropping-particle":"","family":"Hou","given":"Xingsong","non-dropping-particle":"","parse-names":false,"suffix":""},{"dropping-particle":"","family":"Zhang","given":"Zhoufeng","non-dropping-particle":"","parse-names":false,"suffix":""},{"dropping-particle":"","family":"Liu","given":"Xiao","non-dropping-particle":"","parse-names":false,"suffix":""},{"dropping-particle":"","family":"Liu","given":"Jiacheng","non-dropping-particle":"","parse-names":false,"suffix":""},{"dropping-particle":"","family":"Wang","given":"Xueji","non-dropping-particle":"","parse-names":false,"suffix":""},{"dropping-particle":"","family":"Zhong","given":"Jingjing","non-dropping-particle":"","parse-names":false,"suffix":""},{"dropping-particle":"","family":"Tan","given":"Zhengxuan","non-dropping-particle":"","parse-names":false,"suffix":""},{"dropping-particle":"","family":"Xia","given":"Shaoxia","non-dropping-particle":"","parse-names":false,"suffix":""},{"dropping-particle":"","family":"Qian","given":"Bao","non-dropping-particle":"","parse-names":false,"suffix":""}],"container-title":"Remote Sensing","id":"ITEM-2","issue":"20","issued":{"date-parts":[["2021"]]},"title":"Uav-borne hyperspectral imaging remote sensing system based on acousto-optic tunable filter for water quality monitoring","type":"article-journal","volume":"13"},"uris":["http://www.mendeley.com/documents/?uuid=2e0895f4-1be3-4b81-b7ac-c0b6f275f864"]}],"mendeley":{"formattedCitation":"[5], [6]","plainTextFormattedCitation":"[5], [6]","previouslyFormattedCitation":"[5], [6]"},"properties":{"noteIndex":0},"schema":"https://github.com/citation-style-language/schema/raw/master/csl-citation.json"}</w:instrText>
      </w:r>
      <w:r w:rsidR="001D75F4">
        <w:fldChar w:fldCharType="separate"/>
      </w:r>
      <w:r w:rsidR="00391DD5" w:rsidRPr="00391DD5">
        <w:rPr>
          <w:noProof/>
        </w:rPr>
        <w:t>[5], [6]</w:t>
      </w:r>
      <w:r w:rsidR="001D75F4">
        <w:fldChar w:fldCharType="end"/>
      </w:r>
      <w:r>
        <w:t>, and healthcare</w:t>
      </w:r>
      <w:r w:rsidR="00682F4A">
        <w:t xml:space="preserve"> </w:t>
      </w:r>
      <w:r w:rsidR="00F00A4D">
        <w:fldChar w:fldCharType="begin" w:fldLock="1"/>
      </w:r>
      <w:r w:rsidR="006F0C59">
        <w:instrText>ADDIN CSL_CITATION {"citationItems":[{"id":"ITEM-1","itemData":{"DOI":"10.1088/2515-7647/ad38f6","ISSN":"25157647","abstract":"This perspective explores the progressive domain of wearable surface-enhanced Raman spectroscopy (SERS), underscoring its potential to revolutionize healthcare. As an advanced variation of traditional Raman spectroscopy, SERS offers heightened sensitivity in detecting molecular vibrations. Applied in wearable technology, it provides a mechanism for continuous, non-invasive, real-time monitoring of chemical and biomolecular processes in the human body through biofluids such as sweat and tears. This underscores its immense potential in enabling early disease detection and facilitating personalized medicine. However, the adoption of wearable SERS is not without challenges, which include device miniaturization, reliable biofluid sampling, user comfort, biocompatibility, and data interpretation. Nevertheless, this perspective emphasizes that the fast-paced advancements in nanotechnology and data sciences render these challenges surmountable. In summary, the perspective presents wearable SERS as a promising innovation in healthcare’s future landscape. It has the potential to enhance individual health outcomes significantly and lower healthcare costs by promoting a preventive health management approach.","author":[{"dropping-particle":"","family":"Kitahama","given":"Yasutaka","non-dropping-particle":"","parse-names":false,"suffix":""},{"dropping-particle":"","family":"Egawa","given":"Mariko","non-dropping-particle":"","parse-names":false,"suffix":""},{"dropping-particle":"","family":"Dwivedi","given":"Prabhat K.","non-dropping-particle":"","parse-names":false,"suffix":""},{"dropping-particle":"","family":"Yang","given":"William","non-dropping-particle":"","parse-names":false,"suffix":""},{"dropping-particle":"","family":"Goda","given":"Keisuke","non-dropping-particle":"","parse-names":false,"suffix":""}],"container-title":"JPhys Photonics","id":"ITEM-1","issue":"2","issued":{"date-parts":[["2024"]]},"page":"0-16","title":"An emerging tool in healthcare: wearable surface-enhanced Raman Spectroscopy","type":"article-journal","volume":"6"},"uris":["http://www.mendeley.com/documents/?uuid=0a208c21-3200-4430-9686-893a0d7f2f8b"]},{"id":"ITEM-2","itemData":{"DOI":"10.3390/photonics9020050","ISSN":"23046732","abstract":"Due to the improvement of living standards, people’s attention to health has gradually increased. More and more people are willing to spend money and time on health management. This article reviews work on the vital signs monitoring system based on fiber optic interferometers, including the design of sensor structures, signal demodulation methods and data analysis. After a large number of trials, the system can achieve long-term stable heart rate (HR), respiration rate (RR) and body temperature monitoring, and the collected data can be used for health analysis. Due to the high sensitivity, low cost, and light weight of the interferometric fiber optic sensor, it can be integrated under a mattress or a cushion, which is very suitable for daily use. The system has great application prospects in the field of healthcare.","author":[{"dropping-particle":"","family":"Lyu","given":"Weimin","non-dropping-particle":"","parse-names":false,"suffix":""},{"dropping-particle":"","family":"Chen","given":"Shuyang","non-dropping-particle":"","parse-names":false,"suffix":""},{"dropping-particle":"","family":"Tan","given":"Fengze","non-dropping-particle":"","parse-names":false,"suffix":""},{"dropping-particle":"","family":"Yu","given":"Changyuan","non-dropping-particle":"","parse-names":false,"suffix":""}],"container-title":"Photonics","id":"ITEM-2","issue":"2","issued":{"date-parts":[["2022"]]},"title":"Vital Signs Monitoring Based on Interferometric Fiber Optic Sensors","type":"article-journal","volume":"9"},"uris":["http://www.mendeley.com/documents/?uuid=90e26ec7-6b08-49bd-a0c5-bc0d25b7da02"]}],"mendeley":{"formattedCitation":"[7], [8]","plainTextFormattedCitation":"[7], [8]","previouslyFormattedCitation":"[7], [8]"},"properties":{"noteIndex":0},"schema":"https://github.com/citation-style-language/schema/raw/master/csl-citation.json"}</w:instrText>
      </w:r>
      <w:r w:rsidR="00F00A4D">
        <w:fldChar w:fldCharType="separate"/>
      </w:r>
      <w:r w:rsidR="006F0C59" w:rsidRPr="006F0C59">
        <w:rPr>
          <w:noProof/>
        </w:rPr>
        <w:t>[7], [8]</w:t>
      </w:r>
      <w:r w:rsidR="00F00A4D">
        <w:fldChar w:fldCharType="end"/>
      </w:r>
      <w:r>
        <w:t>. The ongoing advancements in optical sensor applications hold great promise for further innovations. The creation of temperature</w:t>
      </w:r>
      <w:r w:rsidR="00AF335F">
        <w:t xml:space="preserve"> </w:t>
      </w:r>
      <w:r w:rsidR="0071605F">
        <w:fldChar w:fldCharType="begin" w:fldLock="1"/>
      </w:r>
      <w:r w:rsidR="00A85494">
        <w:instrText>ADDIN CSL_CITATION {"citationItems":[{"id":"ITEM-1","itemData":{"DOI":"10.1364/OL.42.002948","abstract":"We propose and demonstrate a novel and compact optical-fiber temperature sensor with a high sensitivity and high figure of merit (FOM) based on surface plasmon resonance (SPR). The sensor is fabricated by employing a single-mode twin-core fiber (TCF), which is polished as a circular truncated cone and coated with a layer of gold film and a layer of polydimethylsiloxane (PDMS). Owing to the high refractive index sensitivity of SPR sensors and high thermo-optic coefficient of PDMS, the sensor realizes a high temperature sensitivity of \\&amp;\\#x2212;4.13\\&amp;\\#x2009;\\&amp;\\#x2009;nm/\\&amp;\\#x00B0;C to \\&amp;\\#x2212;2.07\\&amp;\\#x2009;\\&amp;\\#x2009;nm/\\&amp;\\#x00B0;C in the range from 20\\&amp;\\#x00B0;C to 70\\&amp;\\#x00B0;C, transcending most other types of optical-fiber temperature sensors. Owing to the fundamental mode beam transmitting in the TCF, the sensor realizes a high FOM of up to 0.034/\\&amp;\\#x00B0;C, more than twice that of SPR sensors based on multimode fiber. The proposed temperature sensor is meaningful and will have potential applications in many fields, such as biomedical and biomaterial.","author":[{"dropping-particle":"","family":"Zhu","given":"Zongda","non-dropping-particle":"","parse-names":false,"suffix":""},{"dropping-particle":"","family":"Liu","given":"Lu","non-dropping-particle":"","parse-names":false,"suffix":""},{"dropping-particle":"","family":"Liu","given":"Zhihai","non-dropping-particle":"","parse-names":false,"suffix":""},{"dropping-particle":"","family":"Zhang","given":"Yu","non-dropping-particle":"","parse-names":false,"suffix":""},{"dropping-particle":"","family":"Zhang","given":"Yaxun","non-dropping-particle":"","parse-names":false,"suffix":""}],"container-title":"Opt. Lett.","id":"ITEM-1","issue":"15","issued":{"date-parts":[["2017","8"]]},"page":"2948-2951","publisher":"Optica Publishing Group","title":"Surface-plasmon-resonance-based optical-fiber temperature sensor with high sensitivity and high figure of merit","type":"article-journal","volume":"42"},"uris":["http://www.mendeley.com/documents/?uuid=4e597765-18ce-458e-bce5-90c25e5913b4"]}],"mendeley":{"formattedCitation":"[9]","plainTextFormattedCitation":"[9]","previouslyFormattedCitation":"[9]"},"properties":{"noteIndex":0},"schema":"https://github.com/citation-style-language/schema/raw/master/csl-citation.json"}</w:instrText>
      </w:r>
      <w:r w:rsidR="0071605F">
        <w:fldChar w:fldCharType="separate"/>
      </w:r>
      <w:r w:rsidR="0071605F" w:rsidRPr="0071605F">
        <w:rPr>
          <w:noProof/>
        </w:rPr>
        <w:t>[9]</w:t>
      </w:r>
      <w:r w:rsidR="0071605F">
        <w:fldChar w:fldCharType="end"/>
      </w:r>
      <w:r>
        <w:t>, vibration</w:t>
      </w:r>
      <w:r w:rsidR="00F30D15">
        <w:t xml:space="preserve"> </w:t>
      </w:r>
      <w:r w:rsidR="00A85494">
        <w:fldChar w:fldCharType="begin" w:fldLock="1"/>
      </w:r>
      <w:r w:rsidR="003836A0">
        <w:instrText>ADDIN CSL_CITATION {"citationItems":[{"id":"ITEM-1","itemData":{"DOI":"10.3390/s23104952","ISSN":"14248220","PMID":"37430867","abstract":"In this paper, a fiber-optic Fabry–Perot (F–P) vibration sensor that can work at 800 °C is proposed. The F–P interferometer is composed of an upper surface of inertial mass placed parallel to the end face of the optical fiber. The sensor was prepared by ultraviolet-laser ablation and three-layer direct-bonding technology. Theoretically, the sensor has a sensitivity of 0.883 nm/g and a resonant frequency of 20.911 kHz. The experimental results show that the sensitivity of the sensor is 0.876 nm/g in the range of 2 g to 20 g at an operating frequency of 200 Hz at 20 °C. The nonlinearity was evaluated from 20 °C to 800 °C with a nonlinear error of 0.87%. In addition, the z-axis sensitivity of the sensor was 25 times higher than that of the x-axis and y-axis. The vibration sensor will have wide high-temperature engineering-application prospects.","author":[{"dropping-particle":"","family":"Liu","given":"Hua","non-dropping-particle":"","parse-names":false,"suffix":""},{"dropping-particle":"","family":"Jia","given":"Pinggang","non-dropping-particle":"","parse-names":false,"suffix":""},{"dropping-particle":"","family":"Su","given":"Chengxin","non-dropping-particle":"","parse-names":false,"suffix":""},{"dropping-particle":"","family":"Zhao","given":"Aihao","non-dropping-particle":"","parse-names":false,"suffix":""},{"dropping-particle":"","family":"Liu","given":"Jia","non-dropping-particle":"","parse-names":false,"suffix":""},{"dropping-particle":"","family":"Ren","given":"Qianyu","non-dropping-particle":"","parse-names":false,"suffix":""},{"dropping-particle":"","family":"Xiong","given":"Jijun","non-dropping-particle":"","parse-names":false,"suffix":""}],"container-title":"Sensors","id":"ITEM-1","issue":"10","issued":{"date-parts":[["2023"]]},"title":"High-Temperature Fiber-Optic Fabry–Perot Vibration Sensor Based on Single-Crystal Sapphire","type":"article-journal","volume":"23"},"uris":["http://www.mendeley.com/documents/?uuid=c11dbc53-be79-4287-a489-ee34d5a7c69f"]}],"mendeley":{"formattedCitation":"[10]","plainTextFormattedCitation":"[10]","previouslyFormattedCitation":"[10]"},"properties":{"noteIndex":0},"schema":"https://github.com/citation-style-language/schema/raw/master/csl-citation.json"}</w:instrText>
      </w:r>
      <w:r w:rsidR="00A85494">
        <w:fldChar w:fldCharType="separate"/>
      </w:r>
      <w:r w:rsidR="00A85494" w:rsidRPr="00A85494">
        <w:rPr>
          <w:noProof/>
        </w:rPr>
        <w:t>[10]</w:t>
      </w:r>
      <w:r w:rsidR="00A85494">
        <w:fldChar w:fldCharType="end"/>
      </w:r>
      <w:r>
        <w:t>, humidity</w:t>
      </w:r>
      <w:r w:rsidR="00F30D15">
        <w:t xml:space="preserve"> </w:t>
      </w:r>
      <w:r w:rsidR="003836A0">
        <w:fldChar w:fldCharType="begin" w:fldLock="1"/>
      </w:r>
      <w:r w:rsidR="008C42BD">
        <w:instrText>ADDIN CSL_CITATION {"citationItems":[{"id":"ITEM-1","itemData":{"DOI":"10.1016/j.yofte.2021.102460","ISSN":"10685200","abstract":"In this paper, we present an investigation on the sensing performance of a relative humidity (RH) sensor based on macro-bending structure-induced fiber Mach-Zehnder interferometer (MZI). The macro-bending structure was formed by bending a section of single-mode fiber (SMF) into a droplet-shape without any splicing. By properly adjusting the bending diameter of the droplet-shaped fiber section, interference has been achieved between the whispering gallery mode (WGM) and the core mode. Four sensing probes based on different SMFs were fabricated and compared to investigate the effect of polymer coatings on the sensing properties towards RH variation ranges from 35% to 95%; namely, probe A composed of a bare SMF with its original protective polymer coating, probe B based on polymer jacket stripped SMF, probe C based on polyethylene oxide (PEO)-coated SMF, and probe D based on polyvinyl‐alcohol (PVA)-coated SMF. The sensitivity increased after the deposition of PEO and PVA coating on the macro-bending structures. Through a comparative investigation, experimental results revealed that sensor D performed better than other probes and possessed an improved sensitivity of −0.6 nm/RH% and an ultrafast response time of 1.33 ms. To the best of our knowledge, this is the first time that two main roles of the original polymer jacket of the SMF and the deposited polymer coatings on the SMF have been investigated in fabricating and optimizing the RH sensing performance of a droplet-like interferometer.","author":[{"dropping-particle":"","family":"Al-Hayali","given":"Sarah Kadhim","non-dropping-particle":"","parse-names":false,"suffix":""},{"dropping-particle":"","family":"Salman","given":"Ansam M.","non-dropping-particle":"","parse-names":false,"suffix":""},{"dropping-particle":"","family":"Hadi Al-Janabi","given":"Abdul","non-dropping-particle":"","parse-names":false,"suffix":""}],"container-title":"Optical Fiber Technology","id":"ITEM-1","issue":"February","issued":{"date-parts":[["2021"]]},"page":"102460","publisher":"Elsevier Inc.","title":"Effect of hygroscopic polymer-coatings on the performance of relative humidity sensor based on macro-bend single-mode fiber","type":"article-journal","volume":"62"},"uris":["http://www.mendeley.com/documents/?uuid=167e85ee-571e-4e08-8c0a-02f3262fd713"]}],"mendeley":{"formattedCitation":"[11]","plainTextFormattedCitation":"[11]","previouslyFormattedCitation":"[11]"},"properties":{"noteIndex":0},"schema":"https://github.com/citation-style-language/schema/raw/master/csl-citation.json"}</w:instrText>
      </w:r>
      <w:r w:rsidR="003836A0">
        <w:fldChar w:fldCharType="separate"/>
      </w:r>
      <w:r w:rsidR="003836A0" w:rsidRPr="003836A0">
        <w:rPr>
          <w:noProof/>
        </w:rPr>
        <w:t>[11]</w:t>
      </w:r>
      <w:r w:rsidR="003836A0">
        <w:fldChar w:fldCharType="end"/>
      </w:r>
      <w:r>
        <w:t>, and gas</w:t>
      </w:r>
      <w:r w:rsidR="008C42BD">
        <w:t xml:space="preserve"> </w:t>
      </w:r>
      <w:r w:rsidR="008C42BD">
        <w:fldChar w:fldCharType="begin" w:fldLock="1"/>
      </w:r>
      <w:r w:rsidR="005147A8">
        <w:instrText>ADDIN CSL_CITATION {"citationItems":[{"id":"ITEM-1","itemData":{"DOI":"10.1016/j.yofte.2021.102616","ISSN":"10685200","abstract":"We propose and demonstrate the fiber optic Surface Plasmon Resonance (SPR) for hydrogen sensing based on Ag/TiO2 at the telecommunications wavelength of 1550 nm. The sensor using TiO2 as a sensitive layer for hydrogen detection consists of a multilayer film of 45 nm Ag/110 nm TiO2 deposited on the coupling prism substrate. An intensity interrogation SPR with Kretschmann configuration is designed, where SPR phenomenon will occur at the interface of the Ag/TiO2 film, and the hydrogen concentration will be detected by measuring the change in the reflected intensity. The sensitivity of the sensor is optimal at an Ag/TiO2 thickness. Simulation and experimental results demonstrate that the fiber-optic SPR sensor developed provides hydrogen sensing and has a high sensitivity to a hydrogen concentration ranging between 14.7% and 25% Hydrogen in Air, reaching 523nW/%.","author":[{"dropping-particle":"","family":"Deng","given":"Yali","non-dropping-particle":"","parse-names":false,"suffix":""},{"dropping-particle":"","family":"Li","given":"Mei","non-dropping-particle":"","parse-names":false,"suffix":""},{"dropping-particle":"","family":"Cao","given":"Wen","non-dropping-particle":"","parse-names":false,"suffix":""},{"dropping-particle":"","family":"Wang","given":"Ming","non-dropping-particle":"","parse-names":false,"suffix":""},{"dropping-particle":"","family":"Hao","given":"Hui","non-dropping-particle":"","parse-names":false,"suffix":""},{"dropping-particle":"","family":"Xia","given":"Wei","non-dropping-particle":"","parse-names":false,"suffix":""},{"dropping-particle":"","family":"Su","given":"Fu","non-dropping-particle":"","parse-names":false,"suffix":""}],"container-title":"Optical Fiber Technology","id":"ITEM-1","issue":"February","issued":{"date-parts":[["2021"]]},"title":"Fiber optic coupled surface plasmon resonance sensor based Ag-TiO2 films for hydrogen detection","type":"article-journal","volume":"65"},"uris":["http://www.mendeley.com/documents/?uuid=f6feeb1d-0b51-4ef4-8ef2-6a3c4ed1b74c"]}],"mendeley":{"formattedCitation":"[12]","plainTextFormattedCitation":"[12]","previouslyFormattedCitation":"[12]"},"properties":{"noteIndex":0},"schema":"https://github.com/citation-style-language/schema/raw/master/csl-citation.json"}</w:instrText>
      </w:r>
      <w:r w:rsidR="008C42BD">
        <w:fldChar w:fldCharType="separate"/>
      </w:r>
      <w:r w:rsidR="008C42BD" w:rsidRPr="008C42BD">
        <w:rPr>
          <w:noProof/>
        </w:rPr>
        <w:t>[12]</w:t>
      </w:r>
      <w:r w:rsidR="008C42BD">
        <w:fldChar w:fldCharType="end"/>
      </w:r>
      <w:r w:rsidR="008C42BD">
        <w:t xml:space="preserve"> </w:t>
      </w:r>
      <w:r>
        <w:t xml:space="preserve">sensors are notable examples of research in this area. Each of these sensors improves accuracy and productivity in its own sector. Research has consistently demonstrated the significant potential of various bio-optical sensors, including D-Fiber, U-Fiber, Fiber Bragg Gratings (FBG), Mach-Zehnder interferometers, and Surface Plasmon Resonance (SPR) </w:t>
      </w:r>
      <w:r w:rsidRPr="00E04F7A">
        <w:rPr>
          <w:color w:val="000000" w:themeColor="text1"/>
        </w:rPr>
        <w:t>sensors</w:t>
      </w:r>
      <w:r w:rsidR="00C33A21" w:rsidRPr="00E04F7A">
        <w:rPr>
          <w:color w:val="000000" w:themeColor="text1"/>
        </w:rPr>
        <w:t xml:space="preserve"> </w:t>
      </w:r>
      <w:r w:rsidR="00C33A21" w:rsidRPr="00E04F7A">
        <w:rPr>
          <w:color w:val="000000" w:themeColor="text1"/>
        </w:rPr>
        <w:fldChar w:fldCharType="begin" w:fldLock="1"/>
      </w:r>
      <w:r w:rsidR="00280E5C" w:rsidRPr="00E04F7A">
        <w:rPr>
          <w:color w:val="000000" w:themeColor="text1"/>
        </w:rPr>
        <w:instrText>ADDIN CSL_CITATION {"citationItems":[{"id":"ITEM-1","itemData":{"DOI":"10.3390/bios11030061","ISSN":"20796374","PMID":"33669087","abstract":"Diabetes mellitus is a chronic metabolic disorder, being globally one of the most deadly diseases. This disease requires continually monitoring of the body’s glucose levels. There are different types of sensors for measuring glucose, most of them invasive to the patient. Fiber optic sensors have been proven to have advantages compared to conventional sensors and they have great potential for various applications, especially in the biomedical area. Compared to other sensors, they are smaller, easy to handle, mostly non-invasive, thus leading to a lower risk of infection, high precision, well correlated and inexpensive. The objective of this review article is to compare different types of fiber optic sensors made with different experimental techniques applied to biomedicine, especially for glucose sensing. Observations are made on the way of elaboration, as well as the advantages and disadvantages that each one could have in real applications.","author":[{"dropping-particle":"","family":"Perez","given":"José Luis Cano","non-dropping-particle":"","parse-names":false,"suffix":""},{"dropping-particle":"","family":"Gutiérrez-Gutiérrez","given":"Jaime","non-dropping-particle":"","parse-names":false,"suffix":""},{"dropping-particle":"","family":"Mayoral","given":"Christian Perezcampos","non-dropping-particle":"","parse-names":false,"suffix":""},{"dropping-particle":"","family":"Pérez-Campos","given":"Eduardo L.","non-dropping-particle":"","parse-names":false,"suffix":""},{"dropping-particle":"","family":"Canseco","given":"Maria Del Socorro Pina","non-dropping-particle":"","parse-names":false,"suffix":""},{"dropping-particle":"","family":"Carrillo","given":"Lorenzo Tepech","non-dropping-particle":"","parse-names":false,"suffix":""},{"dropping-particle":"","family":"Mayoral","given":"Laura Pérez Campos","non-dropping-particle":"","parse-names":false,"suffix":""},{"dropping-particle":"","family":"Treviño","given":"Marciano Vargas","non-dropping-particle":"","parse-names":false,"suffix":""},{"dropping-particle":"","family":"Apreza","given":"Edmundo López","non-dropping-particle":"","parse-names":false,"suffix":""},{"dropping-particle":"","family":"Laguna","given":"Roberto Rojas","non-dropping-particle":"","parse-names":false,"suffix":""}],"container-title":"Biosensors","id":"ITEM-1","issue":"3","issued":{"date-parts":[["2021"]]},"title":"Fiber optic sensors: A review for glucose measurement","type":"article-journal","volume":"11"},"uris":["http://www.mendeley.com/documents/?uuid=d7b1b7ad-313a-4f55-abf8-4cd7c46d4091"]},{"id":"ITEM-2","itemData":{"DOI":"10.3390/bios12080553","ISSN":"20796374","PMID":"35892450","abstract":"The Severe Acute Respiratory Syndrome Coronavirus 2 (SARS-CoV-2) pandemic has once more emphasized the urgent need for accurate and fast point-of-care (POC) diagnostics for outbreak control and prevention. The main challenge in the development of POC in vitro diagnostics (IVD) is to combine a short time to result with a high sensitivity, and to keep the testing cost-effective. In this respect, sensors based on photonic integrated circuits (PICs) may offer advantages as they have features such as a high analytical sensitivity, capability for multiplexing, ease of miniaturization, and the potential for high-volume manufacturing. One special type of PIC sensor is the asymmetric Mach–Zehnder Interferometer (aMZI), which is characterized by a high and tunable analytical sensitivity. The current work describes the application of an aMZI-based biosensor platform for sensitive and multiplex detection of anti-SARS-CoV-2 antibodies in human plasma samples using the spike protein (SP), the receptor-binding domain (RBD), and the nucleocapsid protein (NP) as target antigens. The results are in good agreement with several CE-IVD marked reference methods and demonstrate the potential of the aMZI biosensor technology for further development into a photonic IVD platform.","author":[{"dropping-particle":"","family":"Besselink","given":"Geert","non-dropping-particle":"","parse-names":false,"suffix":""},{"dropping-particle":"","family":"Schütz-Trilling","given":"Anke","non-dropping-particle":"","parse-names":false,"suffix":""},{"dropping-particle":"","family":"Veerbeek","given":"Janneke","non-dropping-particle":"","parse-names":false,"suffix":""},{"dropping-particle":"","family":"Verbruggen","given":"Michelle","non-dropping-particle":"","parse-names":false,"suffix":""},{"dropping-particle":"","family":"Meer","given":"Adriaan","non-dropping-particle":"van der","parse-names":false,"suffix":""},{"dropping-particle":"","family":"Schonenberg","given":"Rens","non-dropping-particle":"","parse-names":false,"suffix":""},{"dropping-particle":"","family":"Dam","given":"Henk","non-dropping-particle":"","parse-names":false,"suffix":""},{"dropping-particle":"","family":"Evers","given":"Kevin","non-dropping-particle":"","parse-names":false,"suffix":""},{"dropping-particle":"","family":"Lindhout","given":"Ernst","non-dropping-particle":"","parse-names":false,"suffix":""},{"dropping-particle":"","family":"Garritsen","given":"Anja","non-dropping-particle":"","parse-names":false,"suffix":""},{"dropping-particle":"","family":"Amerongen","given":"Aart","non-dropping-particle":"van","parse-names":false,"suffix":""},{"dropping-particle":"","family":"Knoben","given":"Wout","non-dropping-particle":"","parse-names":false,"suffix":""},{"dropping-particle":"","family":"Scheres","given":"Luc","non-dropping-particle":"","parse-names":false,"suffix":""}],"container-title":"Biosensors","id":"ITEM-2","issue":"8","issued":{"date-parts":[["2022"]]},"title":"Asymmetric Mach–Zehnder Interferometric Biosensing for Quantitative and Sensitive Multiplex Detection of Anti-SARS-CoV-2 Antibodies in Human Plasma","type":"article-journal","volume":"12"},"uris":["http://www.mendeley.com/documents/?uuid=ba08c76b-1fd5-4218-a22f-4218361869b1"]}],"mendeley":{"formattedCitation":"[13], [14]","plainTextFormattedCitation":"[13], [14]","previouslyFormattedCitation":"[13]"},"properties":{"noteIndex":0},"schema":"https://github.com/citation-style-language/schema/raw/master/csl-citation.json"}</w:instrText>
      </w:r>
      <w:r w:rsidR="00C33A21" w:rsidRPr="00E04F7A">
        <w:rPr>
          <w:color w:val="000000" w:themeColor="text1"/>
        </w:rPr>
        <w:fldChar w:fldCharType="separate"/>
      </w:r>
      <w:r w:rsidR="00280E5C" w:rsidRPr="00E04F7A">
        <w:rPr>
          <w:noProof/>
          <w:color w:val="000000" w:themeColor="text1"/>
        </w:rPr>
        <w:t>[13], [14]</w:t>
      </w:r>
      <w:r w:rsidR="00C33A21" w:rsidRPr="00E04F7A">
        <w:rPr>
          <w:color w:val="000000" w:themeColor="text1"/>
        </w:rPr>
        <w:fldChar w:fldCharType="end"/>
      </w:r>
      <w:r w:rsidRPr="00E04F7A">
        <w:rPr>
          <w:color w:val="000000" w:themeColor="text1"/>
        </w:rPr>
        <w:t xml:space="preserve">. Evidence </w:t>
      </w:r>
      <w:r>
        <w:t xml:space="preserve">from several experimental studies has established that bio-optical sensors offer high sensitivity and can be quantified This </w:t>
      </w:r>
      <w:r>
        <w:t>exciting development creates new opportunities to investigate its possible uses in the biosensors industry.</w:t>
      </w:r>
    </w:p>
    <w:p w14:paraId="6FF4DBAD" w14:textId="78707A9C" w:rsidR="0008674F" w:rsidRDefault="0008674F" w:rsidP="00E62B4B">
      <w:pPr>
        <w:pStyle w:val="IJNEAMParagraph"/>
      </w:pPr>
      <w:r>
        <w:t>The rising incidence of kidney-related diseases is a growing concern</w:t>
      </w:r>
      <w:r w:rsidR="005147A8">
        <w:t xml:space="preserve"> </w:t>
      </w:r>
      <w:r w:rsidR="005147A8">
        <w:fldChar w:fldCharType="begin" w:fldLock="1"/>
      </w:r>
      <w:r w:rsidR="00280E5C">
        <w:instrText>ADDIN CSL_CITATION {"citationItems":[{"id":"ITEM-1","itemData":{"DOI":"10.1111/nep.13825","ISSN":"1440-1797 (Electronic)","PMID":"33169890","abstract":"AIM: There is paucity of data on the epidemiology of end-stage kidney disease (ESKD) from South Asia and South-East Asia. The objective of this study was to assess the aetiology, practice patterns and disease burden and growth of ESKD in the region comparing the economies. METHODS: The national nephrology societies of the region; responded to the questionnaire; based on latest registries, acceptable community-based studies and society perceptions. The countries in the region were classified into Group 1 (High|higher-middle-income) and Group 2 (lower|lowermiddle income). Student t-test, Mann-Whitney U test and Fisher's exact test were used for comparison. RESULTS: Fifteen countries provided the data. The average incidence of ESKD was estimated at 226.7 per million population (pmp), (Group 1 vs. Group 2, 305.8 vs. 167.8 pmp) and average prevalence at 940.8 pmp (Group 1 vs. Group 2, 1306 vs. 321 pmp). Group 1 countries had a higher incidence and prevalence of ESKD. Diabetes, hypertension and chronic glomerulonephritis were most common causes. The mean age in Group 2 was lower by a decade (Group 1 vs. Group 2-59.45 vs 47.7 years). CONCLUSION: Haemodialysis was the most common kidney replacement therapy in both groups and conservative management of ESKD was the second commonest available treatment option within Group 2. The disease burden was expected to grow &gt;20% in 50% of Group 1 countries and 78% of Group 2 countries along with the parallel growth in haemodialysis and peritoneal dialysis.","author":[{"dropping-particle":"","family":"Sahay","given":"Manisha","non-dropping-particle":"","parse-names":false,"suffix":""},{"dropping-particle":"","family":"Jasuja","given":"Sanjiv","non-dropping-particle":"","parse-names":false,"suffix":""},{"dropping-particle":"","family":"Tang","given":"Sydney Chi Wai","non-dropping-particle":"","parse-names":false,"suffix":""},{"dropping-particle":"","family":"Alexander","given":"Suceena","non-dropping-particle":"","parse-names":false,"suffix":""},{"dropping-particle":"","family":"Jha","given":"Vivekanand","non-dropping-particle":"","parse-names":false,"suffix":""},{"dropping-particle":"","family":"Vachharajani","given":"Tushar","non-dropping-particle":"","parse-names":false,"suffix":""},{"dropping-particle":"","family":"Mostafi","given":"Mamun","non-dropping-particle":"","parse-names":false,"suffix":""},{"dropping-particle":"","family":"Pisharam","given":"Jayakrishnan K","non-dropping-particle":"","parse-names":false,"suffix":""},{"dropping-particle":"","family":"Jacob","given":"Chakko","non-dropping-particle":"","parse-names":false,"suffix":""},{"dropping-particle":"","family":"Gunawan","given":"Atma","non-dropping-particle":"","parse-names":false,"suffix":""},{"dropping-particle":"","family":"Bak Leong","given":"Goh","non-dropping-particle":"","parse-names":false,"suffix":""},{"dropping-particle":"","family":"Thwin","given":"Khin Thida","non-dropping-particle":"","parse-names":false,"suffix":""},{"dropping-particle":"","family":"Agrawal","given":"Rajendra Kumar","non-dropping-particle":"","parse-names":false,"suffix":""},{"dropping-particle":"","family":"Vareesangthip","given":"Kriengsak","non-dropping-particle":"","parse-names":false,"suffix":""},{"dropping-particle":"","family":"Tanchanco","given":"Roberto","non-dropping-particle":"","parse-names":false,"suffix":""},{"dropping-particle":"","family":"Choong","given":"Lina","non-dropping-particle":"","parse-names":false,"suffix":""},{"dropping-particle":"","family":"Herath","given":"Chula","non-dropping-particle":"","parse-names":false,"suffix":""},{"dropping-particle":"","family":"Lin","given":"Chih-Ching","non-dropping-particle":"","parse-names":false,"suffix":""},{"dropping-particle":"","family":"Cuong","given":"Nguyen The","non-dropping-particle":"","parse-names":false,"suffix":""},{"dropping-particle":"","family":"Haian","given":"Ha Phan","non-dropping-particle":"","parse-names":false,"suffix":""},{"dropping-particle":"","family":"Akhtar","given":"Syed Fazal","non-dropping-particle":"","parse-names":false,"suffix":""},{"dropping-particle":"","family":"Alsahow","given":"Ali","non-dropping-particle":"","parse-names":false,"suffix":""},{"dropping-particle":"","family":"Rana","given":"Devinder S","non-dropping-particle":"","parse-names":false,"suffix":""},{"dropping-particle":"","family":"Rajapurkar","given":"Mohan M","non-dropping-particle":"","parse-names":false,"suffix":""},{"dropping-particle":"","family":"Kher","given":"Vijay","non-dropping-particle":"","parse-names":false,"suffix":""},{"dropping-particle":"","family":"Verma","given":"Shalini","non-dropping-particle":"","parse-names":false,"suffix":""},{"dropping-particle":"","family":"Ramachandran","given":"Raja","non-dropping-particle":"","parse-names":false,"suffix":""},{"dropping-particle":"","family":"Bhargava","given":"Vinant","non-dropping-particle":"","parse-names":false,"suffix":""},{"dropping-particle":"","family":"Puri","given":"Sonika","non-dropping-particle":"","parse-names":false,"suffix":""},{"dropping-particle":"","family":"Sagar","given":"Gaurav","non-dropping-particle":"","parse-names":false,"suffix":""},{"dropping-particle":"","family":"Bahl","given":"Anupam","non-dropping-particle":"","parse-names":false,"suffix":""},{"dropping-particle":"","family":"Mandal","given":"Sandeep","non-dropping-particle":"","parse-names":false,"suffix":""},{"dropping-particle":"","family":"Gupta","given":"Ashwani","non-dropping-particle":"","parse-names":false,"suffix":""},{"dropping-particle":"","family":"Gallieni","given":"Maurizio","non-dropping-particle":"","parse-names":false,"suffix":""}],"container-title":"Nephrology (Carlton, Vic.)","id":"ITEM-1","issue":"2","issued":{"date-parts":[["2021","2"]]},"language":"eng","page":"142-152","publisher-place":"Australia","title":"Aetiology, practice patterns and burden of end-stage kidney disease in South Asia and South-East Asia: A questionnaire-based survey.","type":"article-journal","volume":"26"},"uris":["http://www.mendeley.com/documents/?uuid=ad946f0d-c9bb-4438-9c04-23dd8e4382a6"]}],"mendeley":{"formattedCitation":"[15]","plainTextFormattedCitation":"[15]","previouslyFormattedCitation":"[14]"},"properties":{"noteIndex":0},"schema":"https://github.com/citation-style-language/schema/raw/master/csl-citation.json"}</w:instrText>
      </w:r>
      <w:r w:rsidR="005147A8">
        <w:fldChar w:fldCharType="separate"/>
      </w:r>
      <w:r w:rsidR="00280E5C" w:rsidRPr="00280E5C">
        <w:rPr>
          <w:noProof/>
        </w:rPr>
        <w:t>[15]</w:t>
      </w:r>
      <w:r w:rsidR="005147A8">
        <w:fldChar w:fldCharType="end"/>
      </w:r>
      <w:r>
        <w:t>. For many decades albuminuria has served as a marker for kidney issues. However, in a study conducted by Teeuw et.al (2021) and Mejia et al. (2022), it was shown that current detection methods using urine dipsticks perform poorly</w:t>
      </w:r>
      <w:r w:rsidR="002D441D">
        <w:fldChar w:fldCharType="begin" w:fldLock="1"/>
      </w:r>
      <w:r w:rsidR="00280E5C">
        <w:instrText>ADDIN CSL_CITATION {"citationItems":[{"id":"ITEM-1","itemData":{"DOI":"10.1016/j.preghy.2021.12.015","ISSN":"22107797","PMID":"35051804","abstract":"Objectives: Dipstick tests are frequently used as bedside proteinuria tests to evaluate women suspected of preeclampsia and may inform diagnosis in low resource settings lacking laboratory facilities. This systematic review and meta-analysis aimed to (1) estimate the diagnostic accuracy of urine dipsticks in diagnosing proteinuria, (2) compare performance of different dipstick types and (3) estimate their related costs. Methods: MEDLINE and EMBASE were searched up to August 1, 2020 for primary studies with cross-sectional diagnostic accuracy data on dipstick test(s) compared to a laboratory reference standard (24-hour protein ≥ 300 mg or protein-creatinine ratio ≥ 30 mg/mmol) in pregnant women ≥ 20 weeks of gestation suspected of preeclampsia. Risk of bias and applicability was assessed with QUADAS-2. Data were analysed using a bivariate model with hierarchical addition of covariates for subgroups. Results: Nineteen studies were included. Protein-only dipsticks at 1 + threshold had a pooled sensitivity of 0.68 [95%CI: 0.57–0.77] and specificity of 0.85 [95% CI: 0.73–0.93] (n = 3700 urine samples, 18 studies). Higher specificity was found with automatedly (0.93 [95% CI: 0.82–0.98]) compared to visually (0.81 [95% CI: 0.65–0.91]) read dipsticks, whereas sensitivity was similar and costs were higher. The use of albumin-creatinine ratio (ACR) dipsticks was only reported in two studies and did not improve accuracy. Heterogeneity in study design and prevalence of preeclampsia amongst studies complicated interpretation of pooled estimates. Conclusion: Urine dipsticks performed poorly at excluding preeclampsia in hypertensive pregnant women. Further development of accurate and low-cost bedside proteinuria tests is warranted.","author":[{"dropping-particle":"","family":"Teeuw","given":"Hannah M.","non-dropping-particle":"","parse-names":false,"suffix":""},{"dropping-particle":"","family":"Amoakoh","given":"Hannah Brown","non-dropping-particle":"","parse-names":false,"suffix":""},{"dropping-particle":"","family":"Ellis","given":"Christine Anabelle","non-dropping-particle":"","parse-names":false,"suffix":""},{"dropping-particle":"","family":"Lindsley","given":"Kristina","non-dropping-particle":"","parse-names":false,"suffix":""},{"dropping-particle":"","family":"Browne","given":"Joyce L.","non-dropping-particle":"","parse-names":false,"suffix":""}],"container-title":"Pregnancy Hypertension","id":"ITEM-1","issue":"December 2021","issued":{"date-parts":[["2022"]]},"page":"123-130","publisher":"Elsevier B.V.","title":"Diagnostic accuracy of urine dipstick tests for proteinuria in pregnant women suspected of preeclampsia: A systematic review and meta-analysis","type":"article-journal","volume":"27"},"uris":["http://www.mendeley.com/documents/?uuid=74635b3b-0692-4628-b53b-10c6b1fa1c7e"]},{"id":"ITEM-2","itemData":{"DOI":"10.1016/j.heliyon.2021.e08253","ISSN":"24058440","abstract":"Background: The accuracy of urine dipsticks to detect increased albuminuria is uncertain. We aimed to assess the diagnostic accuracy of urine dipsticks for detecting albuminuria.Methods: A systematic review of studies that assessed the diagnostic accuracy of urine dipstick testing for detecting albuminuria has been conducted (using as reference standard the albuminuria in a 24-hour sample or the albumin-to-creatinine ratio) in Scopus, PubMed, and Google Scholar. The risk of bias of the included studies has been assessed using the Quality Assessment of Diagnostic Accuracy Studies-2 (QUADAS-2) tool. Whenever possible, we performed meta-analyses for sensitivity and specificity. The certainty of the evidence has also been assessed using the Grading of Recommendations Assessment, Development, and Evaluation methodology.Results: A total of 14 studies have been included in this review, having assessed all albumin-to-creatinine ratio (ACR) as assessed standard. Each study used different dipstick types. The resulting pooled sensitivity and specificity for each cutoff point were as follows: for ACR &gt;30 mg/g (13 studies): 0.82 (95% confidence interval: 0.76–0.87) and 0.88 (0.83–0.91); for ACR 30–300 mg/g (7 studies): 0.72 (0.68–0.77) and 0.82 (0.76–0.89); and for ACR &gt;300 mg/g (7 studies): 0.84 (0.71–0.90) and 0.97 (0.95–0.99), respectively. An overall high risk of bias, an important heterogeneity in all pooled analysis, and a very low certainty of the evidence have been found.Conclusions: Pooled sensitivity and specificity of urine dipsticks have been calculated for different ACR cutoff points. However, the dipstick types differed across studies, and the certainty of the evidence was very low. Thus, further well-designed studies are needed to reach more confident estimates and to assess accuracy differences across dipstick types.Registration: PROSPERO (CRD42019124637)","author":[{"dropping-particle":"","family":"Mejia","given":"Jhonatan R.","non-dropping-particle":"","parse-names":false,"suffix":""},{"dropping-particle":"","family":"Fernandez-Chinguel","given":"Jose Ernesto","non-dropping-particle":"","parse-names":false,"suffix":""},{"dropping-particle":"","family":"Dolores-Maldonado","given":"Gandy","non-dropping-particle":"","parse-names":false,"suffix":""},{"dropping-particle":"","family":"Becerra-Chauca","given":"Naysha","non-dropping-particle":"","parse-names":false,"suffix":""},{"dropping-particle":"","family":"Goicochea-Lugo","given":"Sergio","non-dropping-particle":"","parse-names":false,"suffix":""},{"dropping-particle":"","family":"Herrera-Añazco","given":"Percy","non-dropping-particle":"","parse-names":false,"suffix":""},{"dropping-particle":"","family":"Zafra-Tanaka","given":"Jessica Hanae","non-dropping-particle":"","parse-names":false,"suffix":""},{"dropping-particle":"","family":"Taype-Rondan","given":"Alvaro","non-dropping-particle":"","parse-names":false,"suffix":""}],"container-title":"Heliyon","id":"ITEM-2","issue":"11","issued":{"date-parts":[["2021"]]},"title":"Diagnostic accuracy of urine dipstick testing for albumin-to-creatinine ratio and albuminuria: A systematic review and meta-analysis","type":"article-journal","volume":"7"},"uris":["http://www.mendeley.com/documents/?uuid=f1f4c35b-6d9e-4a01-8d3f-8ef5c334dfec"]}],"mendeley":{"formattedCitation":"[16], [17]","plainTextFormattedCitation":"[16], [17]","previouslyFormattedCitation":"[15], [16]"},"properties":{"noteIndex":0},"schema":"https://github.com/citation-style-language/schema/raw/master/csl-citation.json"}</w:instrText>
      </w:r>
      <w:r w:rsidR="002D441D">
        <w:fldChar w:fldCharType="separate"/>
      </w:r>
      <w:r w:rsidR="00280E5C" w:rsidRPr="00280E5C">
        <w:rPr>
          <w:noProof/>
        </w:rPr>
        <w:t>[16], [17]</w:t>
      </w:r>
      <w:r w:rsidR="002D441D">
        <w:fldChar w:fldCharType="end"/>
      </w:r>
      <w:r>
        <w:t>. Furthermore, Thakur (2021) stresses that paper-based urine dipstick indicates albumin presence through color changes that lead to</w:t>
      </w:r>
      <w:r w:rsidR="006658CC">
        <w:t xml:space="preserve"> </w:t>
      </w:r>
      <w:r>
        <w:t>semi</w:t>
      </w:r>
      <w:r w:rsidR="006658CC">
        <w:t xml:space="preserve"> </w:t>
      </w:r>
      <w:r>
        <w:t>quantitative and lack of sensitivity, particularly for concentrations below 300 mg/</w:t>
      </w:r>
      <w:r w:rsidR="000F421F">
        <w:t>dL</w:t>
      </w:r>
      <w:r w:rsidR="00C11E5C">
        <w:t xml:space="preserve"> </w:t>
      </w:r>
      <w:r w:rsidR="00C11E5C">
        <w:fldChar w:fldCharType="begin" w:fldLock="1"/>
      </w:r>
      <w:r w:rsidR="00280E5C">
        <w:instrText>ADDIN CSL_CITATION {"citationItems":[{"id":"ITEM-1","itemData":{"DOI":"10.1109/JSEN.2020.3034904","ISSN":"15581748","abstract":"Albuminuria is an excellent marker for early diagnosis of kidney and cardiovascular disease. Urine dipsticks that are widely used for rapid screening of albumin, lack sensitivity and specificity in lower concentrations (&lt;300 mg/dL) which is clinically very significant for early diagnosis and often provide qualitative or semi-quantitative results. Precise quantification of lower concentrations is based on urinary analyzers that are not portable and cannot be used in point-of-care (PoC) settings. Here, the feasibility of an accessory free analytical device has been demonstrated using a smartphone. Amalgamation of a smartphone with a dipstick enables rapid and inexpensive diagnosis. It estimates not only the standard five concentrations used in dipstick method, but ten different concentrations. This enables accurate detection and quantification of albumin at lower concentration, clinically significant in the early diagnosis of kidney disease. In order to mitigate ambient light conditions and shadow of the smartphone, images of strips were taken in a smartphone camera with 'Flash ON' mode. Machine learning algorithms were used to classify ten different albumin concentrations, corresponding to normal, micro albuminuria and macro albuminuria conditions. The study was performed under varying illumination conditions using multiple smartphones. Random Forest algorithm yields an accuracy of 92% in constant illumination and variable smartphone conditions. In variable smartphone and illumination condition, it yields 82% accuracy on the test data. The detection limit of the proposed method is 7.8125 mg/ dL.","author":[{"dropping-particle":"","family":"Thakur","given":"Ritambhara","non-dropping-particle":"","parse-names":false,"suffix":""},{"dropping-particle":"","family":"Maheshwari","given":"Prateek","non-dropping-particle":"","parse-names":false,"suffix":""},{"dropping-particle":"","family":"Datta","given":"Sudip Kumar","non-dropping-particle":"","parse-names":false,"suffix":""},{"dropping-particle":"","family":"Dubey","given":"Satish Kumar","non-dropping-particle":"","parse-names":false,"suffix":""},{"dropping-particle":"","family":"Shakher","given":"Chandra","non-dropping-particle":"","parse-names":false,"suffix":""}],"container-title":"IEEE Sensors Journal","id":"ITEM-1","issue":"13","issued":{"date-parts":[["2021"]]},"page":"14011-14026","publisher":"IEEE","title":"Machine Learning-Based Rapid Diagnostic-Test Reader for Albuminuria Using Smartphone","type":"article-journal","volume":"21"},"uris":["http://www.mendeley.com/documents/?uuid=62bc774e-12c7-41c7-8701-be184d03b939"]}],"mendeley":{"formattedCitation":"[18]","plainTextFormattedCitation":"[18]","previouslyFormattedCitation":"[17]"},"properties":{"noteIndex":0},"schema":"https://github.com/citation-style-language/schema/raw/master/csl-citation.json"}</w:instrText>
      </w:r>
      <w:r w:rsidR="00C11E5C">
        <w:fldChar w:fldCharType="separate"/>
      </w:r>
      <w:r w:rsidR="00280E5C" w:rsidRPr="00280E5C">
        <w:rPr>
          <w:noProof/>
        </w:rPr>
        <w:t>[18]</w:t>
      </w:r>
      <w:r w:rsidR="00C11E5C">
        <w:fldChar w:fldCharType="end"/>
      </w:r>
      <w:r>
        <w:t>. Taken together, these studies support the notion of finding new alternatives to detect and quantify albumin. The increasing body of literature reflects a commitment to exploring innovative sensor technologies that enhance detection capabilities and broaden applications in biomedical fields</w:t>
      </w:r>
      <w:r w:rsidR="00E62B4B">
        <w:t>.</w:t>
      </w:r>
    </w:p>
    <w:p w14:paraId="49F60060" w14:textId="77777777" w:rsidR="00E04F7A" w:rsidRDefault="0008674F" w:rsidP="00E04F7A">
      <w:pPr>
        <w:pStyle w:val="IJNEAMParagraph"/>
        <w:rPr>
          <w:color w:val="000000" w:themeColor="text1"/>
        </w:rPr>
      </w:pPr>
      <w:r>
        <w:lastRenderedPageBreak/>
        <w:t>There is a vast literature on several light sources for element detection are used through sensors, including ultraviolet (UV)</w:t>
      </w:r>
      <w:r w:rsidR="00EC16F8">
        <w:fldChar w:fldCharType="begin" w:fldLock="1"/>
      </w:r>
      <w:r w:rsidR="00280E5C">
        <w:instrText>ADDIN CSL_CITATION {"citationItems":[{"id":"ITEM-1","itemData":{"DOI":"10.1021/jacs.3c09084","ISSN":"15205126","PMID":"37934048","abstract":"Intentional generation, amplification, and discharging of chemical gradients is central to many nano- and micromanipulative technologies. We describe a straightforward strategy to direct chemical gradients inside a solution via local photoelectric surface charging of organic semiconducting thin films. We observed that the irradiation of carbon nitride thin films with ultraviolet light generates local and sustained surface charges in illuminated regions, inducing chemical gradients in adjacent solutions via charge-selective immobilization of surfactants onto the substrate. We studied these gradients using droplet force gradient sensors, complex emulsions with simultaneous and independent responsive modalities to transduce information on transient gradients in temperature, chemistry, and concentration via tilting, morphological reconfiguration, and chemotaxis. Fine control over the interaction between local, photoelectrically patterned, semiconducting carbon nitride thin films and their environment yields a new method to design chemomechanically responsive materials, potentially applicable to micromanipulative technologies including microfluidics, lab-on-a-chip devices, soft robotics, biochemical assays, and the sorting of colloids and cells.","author":[{"dropping-particle":"","family":"Frank","given":"Bradley D.","non-dropping-particle":"","parse-names":false,"suffix":""},{"dropping-particle":"","family":"Antonietti","given":"Markus","non-dropping-particle":"","parse-names":false,"suffix":""},{"dropping-particle":"","family":"Giusto","given":"Paolo","non-dropping-particle":"","parse-names":false,"suffix":""},{"dropping-particle":"","family":"Zeininger","given":"Lukas","non-dropping-particle":"","parse-names":false,"suffix":""}],"container-title":"Journal of the American Chemical Society","id":"ITEM-1","issued":{"date-parts":[["2023"]]},"page":"0-5","title":"Photocharging of Carbon Nitride Thin Films for Controllable Manipulation of Droplet Force Gradient Sensors","type":"article-journal"},"uris":["http://www.mendeley.com/documents/?uuid=4c38927c-156e-48dd-b94c-90f8c540b2a6"]}],"mendeley":{"formattedCitation":"[19]","plainTextFormattedCitation":"[19]","previouslyFormattedCitation":"[18]"},"properties":{"noteIndex":0},"schema":"https://github.com/citation-style-language/schema/raw/master/csl-citation.json"}</w:instrText>
      </w:r>
      <w:r w:rsidR="00EC16F8">
        <w:fldChar w:fldCharType="separate"/>
      </w:r>
      <w:r w:rsidR="00280E5C" w:rsidRPr="00280E5C">
        <w:rPr>
          <w:noProof/>
        </w:rPr>
        <w:t>[19]</w:t>
      </w:r>
      <w:r w:rsidR="00EC16F8">
        <w:fldChar w:fldCharType="end"/>
      </w:r>
      <w:r>
        <w:t>, visible (VIS)</w:t>
      </w:r>
      <w:r w:rsidR="00505FF7">
        <w:fldChar w:fldCharType="begin" w:fldLock="1"/>
      </w:r>
      <w:r w:rsidR="00280E5C">
        <w:instrText>ADDIN CSL_CITATION {"citationItems":[{"id":"ITEM-1","itemData":{"DOI":"10.1016/j.chemolab.2024.105069","ISSN":"18733239","abstract":"In this paper, a novel bimodal strategy with digital Gaussian filter was proposed to improve the sensing performance of plasmonic waveguide sensor (PWG). The central angle of the bimodal spectrum is adopted rather than the traditional resonance angle. Compared with conventional noise reduction algorithm, the proposed digital Gaussian filter would transform resonance dip into bimodal spectrum and then improve both sensitivity and signal-to-noise ratio. Expected angle and FWHM (full width at half maximum) of Gaussian filter are two significant parameters to optimize sensing performance for each specific waveguide spectrum. The sensitivity and standard deviation of TM1 mode were measured as 90.715 deg/RIU and 7.515 × 10−5 deg, respectively, which are better than those of TM1 PWG sensor. Its RI resolution was then calculated to be 8.28 × 10−7 RIU, which is double-fold lower than that of TM1 PWG sensor, that is 1.73 × 10−6 RIU. For biosensing application, the limit of detection (LOD) of 29.15 mg/L, that is 0.16 mM, was obtained for glucose molecule, according to the three-fold standard deviation theory. For BSA detection, the LOD as high as 0.949 pM was achieved, which is approximately 2.8-fold lower than that of PWG sensor. It is also nearly two orders of magnitude lower than that of gold based SPR sensor, which is 91.33 pM.","author":[{"dropping-particle":"","family":"Wang","given":"Guiqiang","non-dropping-particle":"","parse-names":false,"suffix":""},{"dropping-particle":"","family":"Xu","given":"Xiaoxue","non-dropping-particle":"","parse-names":false,"suffix":""},{"dropping-particle":"","family":"Ren","given":"Jiao","non-dropping-particle":"","parse-names":false,"suffix":""},{"dropping-particle":"","family":"Xie","given":"Pengpeng","non-dropping-particle":"","parse-names":false,"suffix":""},{"dropping-particle":"","family":"Li","given":"Rui","non-dropping-particle":"","parse-names":false,"suffix":""}],"container-title":"Chemometrics and Intelligent Laboratory Systems","id":"ITEM-1","issue":"October 2023","issued":{"date-parts":[["2024"]]},"page":"105069","publisher":"Elsevier B.V.","title":"Sensing performance enhancement of plasmonic waveguide sensor using a bimodal strategy with digital Gaussian filter","type":"article-journal","volume":"245"},"uris":["http://www.mendeley.com/documents/?uuid=1b2894f0-4103-4e03-9c3c-99aaede00254"]}],"mendeley":{"formattedCitation":"[20]","plainTextFormattedCitation":"[20]","previouslyFormattedCitation":"[19]"},"properties":{"noteIndex":0},"schema":"https://github.com/citation-style-language/schema/raw/master/csl-citation.json"}</w:instrText>
      </w:r>
      <w:r w:rsidR="00505FF7">
        <w:fldChar w:fldCharType="separate"/>
      </w:r>
      <w:r w:rsidR="00280E5C" w:rsidRPr="00280E5C">
        <w:rPr>
          <w:noProof/>
        </w:rPr>
        <w:t>[20]</w:t>
      </w:r>
      <w:r w:rsidR="00505FF7">
        <w:fldChar w:fldCharType="end"/>
      </w:r>
      <w:r>
        <w:t xml:space="preserve"> and near-infrared (NIR)</w:t>
      </w:r>
      <w:r w:rsidR="00AE2826">
        <w:fldChar w:fldCharType="begin" w:fldLock="1"/>
      </w:r>
      <w:r w:rsidR="00280E5C">
        <w:instrText>ADDIN CSL_CITATION {"citationItems":[{"id":"ITEM-1","itemData":{"DOI":"10.1016/j.snb.2024.135999","ISSN":"09254005","abstract":"In this work, we demonstrate a novel plug-and-play integrated optical fiber sensing structure based on femtosecond laser micromachining and Vernier effect for label-free detection of bovine serum albumin (BSA) concentration. A rectangular microgroove is etched in the hollow-core fiber (HCF), and a U-shaped fiber is formed to design an open microcavity Fabry-Perot interferometer (FPI), in which the liquid can flow sufficiently into the microcavity as the sensing medium. Through simulation and experimental testing, it has been proven that the sensor can achieve high sensitivity and precision detection of BSA concentration. The refractive index measurement sensitivity is as high as 12308.97 nm/RIU, and the BSA concentration measurement sensitivity is 1.972 nm/(mg/ml), with an average absolute percentage error of 2.03 %. The performance test shows that the sensor has the advantages of strong stability, good repeatability, high measurement accuracy and fast liquid exchange, it can be used as a new sensing method to achieve real-time, online and fast detection of weakly changing biomass.","author":[{"dropping-particle":"","family":"Zhao","given":"Yong","non-dropping-particle":"","parse-names":false,"suffix":""},{"dropping-particle":"","family":"Li","given":"Chaofan","non-dropping-particle":"","parse-names":false,"suffix":""},{"dropping-particle":"","family":"Lin","given":"Zi Ting","non-dropping-particle":"","parse-names":false,"suffix":""},{"dropping-particle":"","family":"Wang","given":"Yu","non-dropping-particle":"","parse-names":false,"suffix":""},{"dropping-particle":"","family":"Tong","given":"Ruijie","non-dropping-particle":"","parse-names":false,"suffix":""},{"dropping-particle":"","family":"Cai","given":"Lu","non-dropping-particle":"","parse-names":false,"suffix":""}],"container-title":"Sensors and Actuators B: Chemical","id":"ITEM-1","issue":"January","issued":{"date-parts":[["2024"]]},"page":"135999","publisher":"Elsevier B.V.","title":"Plug-and-Play Fabry-Perot interferometric biosensor with Vernier effect for label-free detection of bovine serum albumin","type":"article-journal","volume":"416"},"uris":["http://www.mendeley.com/documents/?uuid=56604328-8b3b-4766-8b33-1c70ac9ba969"]}],"mendeley":{"formattedCitation":"[21]","plainTextFormattedCitation":"[21]","previouslyFormattedCitation":"[20]"},"properties":{"noteIndex":0},"schema":"https://github.com/citation-style-language/schema/raw/master/csl-citation.json"}</w:instrText>
      </w:r>
      <w:r w:rsidR="00AE2826">
        <w:fldChar w:fldCharType="separate"/>
      </w:r>
      <w:r w:rsidR="00280E5C" w:rsidRPr="00280E5C">
        <w:rPr>
          <w:noProof/>
        </w:rPr>
        <w:t>[21]</w:t>
      </w:r>
      <w:r w:rsidR="00AE2826">
        <w:fldChar w:fldCharType="end"/>
      </w:r>
      <w:r>
        <w:t xml:space="preserve">. Each type of light possesses unique properties that impact the detection mechanism differently. The distinct characteristics of each light source play a critical role in optimizing sensor performance and enhancing detection capabilities. Furthermore, improvements in the optical substrate’s properties can be realized either through surface modifications or by promoting interactions with targeted materials, resulting in notable enhancements in optical performance. These advancements play a critical role in increasing the </w:t>
      </w:r>
      <w:r w:rsidRPr="00E04F7A">
        <w:rPr>
          <w:color w:val="000000" w:themeColor="text1"/>
        </w:rPr>
        <w:t xml:space="preserve">sensor's precision and effectiveness across various applications. </w:t>
      </w:r>
      <w:r w:rsidR="000D0F69" w:rsidRPr="00E04F7A">
        <w:rPr>
          <w:color w:val="000000" w:themeColor="text1"/>
        </w:rPr>
        <w:t>Despite these advances, the current literature lacks a comprehensive comparison of BSA detection performance across multiple sensing modalities using a unified light source and detection system. Specifically, there is limited analysis that concurrently evaluates time response, light intensity, and absorbance across cuvette-based, non-biofunctionalized, and biofunctionalized tapered optical fiber methods.</w:t>
      </w:r>
    </w:p>
    <w:p w14:paraId="5CD173B9" w14:textId="652B5202" w:rsidR="00224E97" w:rsidRPr="00F314EA" w:rsidRDefault="0008674F" w:rsidP="00E04F7A">
      <w:pPr>
        <w:pStyle w:val="IJNEAMParagraph"/>
      </w:pPr>
      <w:r>
        <w:t xml:space="preserve">This paper experimentally demonstrates the optical properties of various concentrations of Bovine Serum Albumin (BSA) using three different mediums: cuvettes, </w:t>
      </w:r>
      <w:r w:rsidR="009525E0" w:rsidRPr="00E04F7A">
        <w:rPr>
          <w:color w:val="000000" w:themeColor="text1"/>
        </w:rPr>
        <w:t xml:space="preserve">non-bio functionalized </w:t>
      </w:r>
      <w:r w:rsidRPr="00E04F7A">
        <w:rPr>
          <w:color w:val="000000" w:themeColor="text1"/>
        </w:rPr>
        <w:t>tapered optical fiber sensors, and bio-functionalized tapered</w:t>
      </w:r>
      <w:r w:rsidR="00F42044" w:rsidRPr="00E04F7A">
        <w:rPr>
          <w:color w:val="000000" w:themeColor="text1"/>
        </w:rPr>
        <w:t xml:space="preserve"> </w:t>
      </w:r>
      <w:r>
        <w:t>optical fiber sensors. While cuvettes are commonly employed in the biochemical field, this comparison aims to evaluate the performance of non-biofunctionalized and biofunctionalized tapered optical fiber sensors against the standard cuvette method. By analyzing the data from these sensors, we highlight their effectiveness in BSA detection.</w:t>
      </w:r>
    </w:p>
    <w:p w14:paraId="4895E1C7" w14:textId="39ABD920" w:rsidR="003707F1" w:rsidRDefault="00010239">
      <w:pPr>
        <w:pStyle w:val="Heading1"/>
      </w:pPr>
      <w:r>
        <w:t>THEORETICAL</w:t>
      </w:r>
      <w:r w:rsidR="003707F1">
        <w:t xml:space="preserve"> BACKGROUND</w:t>
      </w:r>
    </w:p>
    <w:p w14:paraId="2639CD1B" w14:textId="29A74570" w:rsidR="00AD1CA8" w:rsidRDefault="00CA33C5" w:rsidP="00AD1CA8">
      <w:pPr>
        <w:pStyle w:val="Heading2"/>
      </w:pPr>
      <w:r>
        <w:t>Electromagnetic Waves</w:t>
      </w:r>
    </w:p>
    <w:p w14:paraId="63A4B151" w14:textId="28F89E9A" w:rsidR="00AD1CA8" w:rsidRPr="00514663" w:rsidRDefault="00514663" w:rsidP="0018749E">
      <w:pPr>
        <w:pStyle w:val="IJNEAMParagraph"/>
        <w:rPr>
          <w:strike/>
        </w:rPr>
      </w:pPr>
      <w:r w:rsidRPr="00514663">
        <w:t>Electromagnetic waves are characterized by the presence of two orthogonal fields: the electric field and the magnetic field. These fields propagate simultaneously through space, maintaining perpendicular orientations relative to each other and to the direction of wave propagation.</w:t>
      </w:r>
    </w:p>
    <w:p w14:paraId="342219E0" w14:textId="287EA6FF" w:rsidR="008B5CF1" w:rsidRDefault="004B1553" w:rsidP="008B5CF1">
      <w:pPr>
        <w:pStyle w:val="Heading2"/>
      </w:pPr>
      <w:r w:rsidRPr="004B1553">
        <w:t>Maxwell's Equations and Wave Equation</w:t>
      </w:r>
    </w:p>
    <w:p w14:paraId="32EE2F54" w14:textId="612CD225" w:rsidR="004B1553" w:rsidRPr="00514663" w:rsidRDefault="00514663" w:rsidP="005E6F7E">
      <w:pPr>
        <w:pStyle w:val="IJNEAMParagraph"/>
        <w:rPr>
          <w:color w:val="000000" w:themeColor="text1"/>
        </w:rPr>
      </w:pPr>
      <w:r w:rsidRPr="00514663">
        <w:rPr>
          <w:color w:val="000000" w:themeColor="text1"/>
        </w:rPr>
        <w:t>The interaction between electric and magnetic fields is governed by Maxwell’s equations. In a homogeneous, non-ferromagnetic medium devoid of free charges and currents, these equations can be simplified and combined to yield the wave equation. This equation describes the spatial and temporal evolution of the electric field</w:t>
      </w:r>
    </w:p>
    <w:p w14:paraId="12E7E542" w14:textId="4157D557" w:rsidR="001870B8" w:rsidRPr="00B65967" w:rsidRDefault="00000000" w:rsidP="00395DC8">
      <w:pPr>
        <w:pStyle w:val="IJNEAMEquation"/>
      </w:pPr>
      <m:oMath>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E</m:t>
        </m:r>
        <m:d>
          <m:dPr>
            <m:ctrlPr>
              <w:rPr>
                <w:rFonts w:ascii="Cambria Math" w:hAnsi="Cambria Math"/>
                <w:i/>
              </w:rPr>
            </m:ctrlPr>
          </m:dPr>
          <m:e>
            <m:r>
              <w:rPr>
                <w:rFonts w:ascii="Cambria Math" w:hAnsi="Cambria Math"/>
              </w:rPr>
              <m:t>x,t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ε</m:t>
            </m:r>
            <m:sSup>
              <m:sSupPr>
                <m:ctrlPr>
                  <w:rPr>
                    <w:rFonts w:ascii="Cambria Math" w:hAnsi="Cambria Math"/>
                    <w:i/>
                  </w:rPr>
                </m:ctrlPr>
              </m:sSupPr>
              <m:e>
                <m:r>
                  <m:rPr>
                    <m:scr m:val="script"/>
                  </m:rP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num>
          <m:den>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E</m:t>
        </m:r>
        <m:d>
          <m:dPr>
            <m:ctrlPr>
              <w:rPr>
                <w:rFonts w:ascii="Cambria Math" w:hAnsi="Cambria Math"/>
                <w:i/>
              </w:rPr>
            </m:ctrlPr>
          </m:dPr>
          <m:e>
            <m:r>
              <w:rPr>
                <w:rFonts w:ascii="Cambria Math" w:hAnsi="Cambria Math"/>
              </w:rPr>
              <m:t>x,t</m:t>
            </m:r>
          </m:e>
        </m:d>
      </m:oMath>
      <w:r w:rsidR="00EA7FF7">
        <w:tab/>
      </w:r>
      <w:r w:rsidR="00896235">
        <w:t>(1)</w:t>
      </w:r>
    </w:p>
    <w:p w14:paraId="45964300" w14:textId="10D30A5D" w:rsidR="0097485B" w:rsidRDefault="00B81B52" w:rsidP="00301312">
      <w:pPr>
        <w:pStyle w:val="IJNEAMEquation"/>
      </w:pPr>
      <w:r>
        <w:t>w</w:t>
      </w:r>
      <w:r w:rsidR="00301312">
        <w:t xml:space="preserve">here </w:t>
      </w:r>
    </w:p>
    <w:p w14:paraId="6611096D" w14:textId="707786AA" w:rsidR="0097485B" w:rsidRPr="0097485B" w:rsidRDefault="0097485B" w:rsidP="004E5D82">
      <w:pPr>
        <w:pStyle w:val="IJNEAMParagraph"/>
        <w:spacing w:after="0"/>
      </w:pPr>
      <w:r w:rsidRPr="0097485B">
        <w:rPr>
          <w:rFonts w:ascii="Cambria Math" w:hAnsi="Cambria Math"/>
          <w:i/>
        </w:rPr>
        <w:t xml:space="preserve"> </w:t>
      </w:r>
      <m:oMath>
        <m:r>
          <w:rPr>
            <w:rFonts w:ascii="Cambria Math" w:hAnsi="Cambria Math"/>
          </w:rPr>
          <m:t>E</m:t>
        </m:r>
        <m:d>
          <m:dPr>
            <m:ctrlPr>
              <w:rPr>
                <w:rFonts w:ascii="Cambria Math" w:hAnsi="Cambria Math"/>
                <w:i/>
              </w:rPr>
            </m:ctrlPr>
          </m:dPr>
          <m:e>
            <m:r>
              <w:rPr>
                <w:rFonts w:ascii="Cambria Math" w:hAnsi="Cambria Math"/>
              </w:rPr>
              <m:t>x,t</m:t>
            </m:r>
          </m:e>
        </m:d>
      </m:oMath>
      <w:r w:rsidRPr="0097485B">
        <w:t xml:space="preserve"> is the electric field at position </w:t>
      </w:r>
      <w:r w:rsidR="004072AF">
        <w:t xml:space="preserve">x </w:t>
      </w:r>
      <w:r w:rsidRPr="0097485B">
        <w:t xml:space="preserve">and time </w:t>
      </w:r>
      <w:r w:rsidR="004072AF">
        <w:t>t</w:t>
      </w:r>
      <w:r w:rsidR="00EB45BA">
        <w:t>;</w:t>
      </w:r>
    </w:p>
    <w:p w14:paraId="36A3910F" w14:textId="03278B90" w:rsidR="0097485B" w:rsidRPr="0097485B" w:rsidRDefault="004072AF" w:rsidP="004E5D82">
      <w:pPr>
        <w:pStyle w:val="IJNEAMEquation"/>
        <w:spacing w:after="0"/>
      </w:pPr>
      <m:oMath>
        <m:r>
          <w:rPr>
            <w:rFonts w:ascii="Cambria Math" w:hAnsi="Cambria Math"/>
          </w:rPr>
          <m:t>ε</m:t>
        </m:r>
      </m:oMath>
      <w:r w:rsidRPr="0097485B">
        <w:t xml:space="preserve"> </w:t>
      </w:r>
      <w:r w:rsidR="00EB45BA">
        <w:t>is</w:t>
      </w:r>
      <w:r w:rsidR="0097485B" w:rsidRPr="0097485B">
        <w:t xml:space="preserve"> the dielectric constant</w:t>
      </w:r>
      <w:r w:rsidR="00EB45BA">
        <w:t>;</w:t>
      </w:r>
    </w:p>
    <w:p w14:paraId="0A156835" w14:textId="42E506A2" w:rsidR="00301312" w:rsidRDefault="00EB45BA" w:rsidP="004E5D82">
      <w:pPr>
        <w:pStyle w:val="IJNEAMEquation"/>
        <w:spacing w:after="0"/>
        <w:jc w:val="left"/>
      </w:pPr>
      <m:oMath>
        <m:r>
          <m:rPr>
            <m:scr m:val="script"/>
          </m:rPr>
          <w:rPr>
            <w:rFonts w:ascii="Cambria Math" w:hAnsi="Cambria Math"/>
          </w:rPr>
          <m:t>c</m:t>
        </m:r>
      </m:oMath>
      <w:r w:rsidRPr="0097485B">
        <w:t xml:space="preserve"> </w:t>
      </w:r>
      <w:r w:rsidR="0097485B" w:rsidRPr="0097485B">
        <w:t>is the speed of light in a vacuum.</w:t>
      </w:r>
      <w:r w:rsidR="00301312">
        <w:br/>
      </w:r>
    </w:p>
    <w:p w14:paraId="3D66A6D9" w14:textId="77777777" w:rsidR="00E04F7A" w:rsidRDefault="00E04F7A" w:rsidP="004E5D82">
      <w:pPr>
        <w:pStyle w:val="IJNEAMEquation"/>
        <w:spacing w:after="0"/>
        <w:jc w:val="left"/>
      </w:pPr>
    </w:p>
    <w:p w14:paraId="1D851864" w14:textId="77777777" w:rsidR="008B5CF1" w:rsidRDefault="008B5CF1" w:rsidP="008B5CF1">
      <w:pPr>
        <w:pStyle w:val="Heading2"/>
      </w:pPr>
      <w:r>
        <w:t>Evanescent Wave</w:t>
      </w:r>
    </w:p>
    <w:p w14:paraId="7717503F" w14:textId="6DE7423D" w:rsidR="008D5998" w:rsidRDefault="0077338A" w:rsidP="008D5998">
      <w:pPr>
        <w:rPr>
          <w:lang w:val="x-none" w:eastAsia="x-none"/>
        </w:rPr>
      </w:pPr>
      <w:r>
        <w:rPr>
          <w:lang w:val="x-none" w:eastAsia="x-none"/>
        </w:rPr>
        <w:t>The evanescent wave</w:t>
      </w:r>
      <w:r w:rsidR="00FA47AE">
        <w:rPr>
          <w:lang w:val="x-none" w:eastAsia="x-none"/>
        </w:rPr>
        <w:t xml:space="preserve"> (EW)</w:t>
      </w:r>
      <w:r>
        <w:rPr>
          <w:lang w:val="x-none" w:eastAsia="x-none"/>
        </w:rPr>
        <w:t xml:space="preserve"> plays a</w:t>
      </w:r>
      <w:r w:rsidR="00A14E5E">
        <w:rPr>
          <w:lang w:val="x-none" w:eastAsia="x-none"/>
        </w:rPr>
        <w:t xml:space="preserve">n important role </w:t>
      </w:r>
      <w:r w:rsidR="00553048">
        <w:rPr>
          <w:lang w:val="x-none" w:eastAsia="x-none"/>
        </w:rPr>
        <w:t>in</w:t>
      </w:r>
      <w:r w:rsidR="00A14E5E">
        <w:rPr>
          <w:lang w:val="x-none" w:eastAsia="x-none"/>
        </w:rPr>
        <w:t xml:space="preserve"> enhanc</w:t>
      </w:r>
      <w:r w:rsidR="00553048">
        <w:rPr>
          <w:lang w:val="x-none" w:eastAsia="x-none"/>
        </w:rPr>
        <w:t>ing</w:t>
      </w:r>
      <w:r w:rsidR="00A14E5E">
        <w:rPr>
          <w:lang w:val="x-none" w:eastAsia="x-none"/>
        </w:rPr>
        <w:t xml:space="preserve"> </w:t>
      </w:r>
      <w:r w:rsidR="00101E19">
        <w:rPr>
          <w:lang w:val="x-none" w:eastAsia="x-none"/>
        </w:rPr>
        <w:t xml:space="preserve">the sensor's </w:t>
      </w:r>
      <w:r w:rsidR="00A14E5E">
        <w:rPr>
          <w:lang w:val="x-none" w:eastAsia="x-none"/>
        </w:rPr>
        <w:t>sensitivity</w:t>
      </w:r>
      <w:r w:rsidR="002707E2">
        <w:rPr>
          <w:lang w:val="x-none" w:eastAsia="x-none"/>
        </w:rPr>
        <w:t xml:space="preserve">. </w:t>
      </w:r>
      <w:r w:rsidR="00B221DD">
        <w:rPr>
          <w:lang w:val="x-none" w:eastAsia="x-none"/>
        </w:rPr>
        <w:t>It appea</w:t>
      </w:r>
      <w:r w:rsidR="00CB3354">
        <w:rPr>
          <w:lang w:val="x-none" w:eastAsia="x-none"/>
        </w:rPr>
        <w:t xml:space="preserve">rs </w:t>
      </w:r>
      <w:r w:rsidR="00101E19">
        <w:rPr>
          <w:lang w:val="x-none" w:eastAsia="x-none"/>
        </w:rPr>
        <w:t>in</w:t>
      </w:r>
      <w:r w:rsidR="00CB3354">
        <w:rPr>
          <w:lang w:val="x-none" w:eastAsia="x-none"/>
        </w:rPr>
        <w:t xml:space="preserve"> the </w:t>
      </w:r>
      <w:r w:rsidR="00954A76">
        <w:rPr>
          <w:lang w:val="x-none" w:eastAsia="x-none"/>
        </w:rPr>
        <w:t>near-</w:t>
      </w:r>
      <w:r w:rsidR="00CB3354">
        <w:rPr>
          <w:lang w:val="x-none" w:eastAsia="x-none"/>
        </w:rPr>
        <w:t>surface</w:t>
      </w:r>
      <w:r w:rsidR="00B221DD">
        <w:rPr>
          <w:lang w:val="x-none" w:eastAsia="x-none"/>
        </w:rPr>
        <w:t xml:space="preserve"> electromagnetic field </w:t>
      </w:r>
      <w:r w:rsidR="00954A76">
        <w:rPr>
          <w:lang w:val="x-none" w:eastAsia="x-none"/>
        </w:rPr>
        <w:t>w</w:t>
      </w:r>
      <w:r w:rsidR="002707E2">
        <w:rPr>
          <w:lang w:val="x-none" w:eastAsia="x-none"/>
        </w:rPr>
        <w:t xml:space="preserve">hen light </w:t>
      </w:r>
      <w:r w:rsidR="00303E2D">
        <w:rPr>
          <w:lang w:val="x-none" w:eastAsia="x-none"/>
        </w:rPr>
        <w:t>experience</w:t>
      </w:r>
      <w:r w:rsidR="00553048">
        <w:rPr>
          <w:lang w:val="x-none" w:eastAsia="x-none"/>
        </w:rPr>
        <w:t>s</w:t>
      </w:r>
      <w:r w:rsidR="00303E2D">
        <w:rPr>
          <w:lang w:val="x-none" w:eastAsia="x-none"/>
        </w:rPr>
        <w:t xml:space="preserve"> </w:t>
      </w:r>
      <w:r w:rsidR="00400B67">
        <w:rPr>
          <w:lang w:val="x-none" w:eastAsia="x-none"/>
        </w:rPr>
        <w:t xml:space="preserve">total internal reflection at the interface between two media </w:t>
      </w:r>
      <w:r w:rsidR="00533416">
        <w:rPr>
          <w:lang w:val="x-none" w:eastAsia="x-none"/>
        </w:rPr>
        <w:t>with different refractive index</w:t>
      </w:r>
      <w:r w:rsidR="00101E19">
        <w:rPr>
          <w:lang w:val="x-none" w:eastAsia="x-none"/>
        </w:rPr>
        <w:t>es,</w:t>
      </w:r>
      <w:r w:rsidR="00533416">
        <w:rPr>
          <w:lang w:val="x-none" w:eastAsia="x-none"/>
        </w:rPr>
        <w:t xml:space="preserve"> such as core and cladding</w:t>
      </w:r>
      <w:r w:rsidR="00122971">
        <w:rPr>
          <w:lang w:val="x-none" w:eastAsia="x-none"/>
        </w:rPr>
        <w:t xml:space="preserve">. </w:t>
      </w:r>
      <w:r w:rsidR="00101E19">
        <w:rPr>
          <w:lang w:val="x-none" w:eastAsia="x-none"/>
        </w:rPr>
        <w:t xml:space="preserve">In a standard optical fiber, this </w:t>
      </w:r>
      <w:r w:rsidR="007E0DC9">
        <w:rPr>
          <w:lang w:val="x-none" w:eastAsia="x-none"/>
        </w:rPr>
        <w:t xml:space="preserve">wave is not able to interact with </w:t>
      </w:r>
      <w:r w:rsidR="004B3779">
        <w:rPr>
          <w:lang w:val="x-none" w:eastAsia="x-none"/>
        </w:rPr>
        <w:t xml:space="preserve">the analyte significantly </w:t>
      </w:r>
      <w:r w:rsidR="00B310E3">
        <w:rPr>
          <w:lang w:val="x-none" w:eastAsia="x-none"/>
        </w:rPr>
        <w:t>because it decays exponentially in the cladding.</w:t>
      </w:r>
      <w:r w:rsidR="00FA47AE">
        <w:rPr>
          <w:lang w:val="x-none" w:eastAsia="x-none"/>
        </w:rPr>
        <w:t xml:space="preserve"> EW</w:t>
      </w:r>
      <w:r w:rsidR="004F7FAB">
        <w:rPr>
          <w:lang w:val="x-none" w:eastAsia="x-none"/>
        </w:rPr>
        <w:t xml:space="preserve"> </w:t>
      </w:r>
      <w:r w:rsidR="00A9487B">
        <w:rPr>
          <w:lang w:val="x-none" w:eastAsia="x-none"/>
        </w:rPr>
        <w:t xml:space="preserve">intensity </w:t>
      </w:r>
      <w:r w:rsidR="000F0A1B" w:rsidRPr="004F7FAB">
        <w:rPr>
          <w:i/>
          <w:iCs/>
          <w:lang w:val="x-none" w:eastAsia="x-none"/>
        </w:rPr>
        <w:t>I(z)</w:t>
      </w:r>
      <w:r w:rsidR="000F0A1B">
        <w:rPr>
          <w:lang w:val="x-none" w:eastAsia="x-none"/>
        </w:rPr>
        <w:t xml:space="preserve"> </w:t>
      </w:r>
      <w:r w:rsidR="00A9487B">
        <w:rPr>
          <w:lang w:val="x-none" w:eastAsia="x-none"/>
        </w:rPr>
        <w:t xml:space="preserve">decays </w:t>
      </w:r>
      <w:r w:rsidR="008D5998">
        <w:rPr>
          <w:lang w:val="x-none" w:eastAsia="x-none"/>
        </w:rPr>
        <w:t>can</w:t>
      </w:r>
      <w:r w:rsidR="009E2408">
        <w:rPr>
          <w:lang w:val="x-none" w:eastAsia="x-none"/>
        </w:rPr>
        <w:t xml:space="preserve"> be described by :</w:t>
      </w:r>
    </w:p>
    <w:p w14:paraId="577F480A" w14:textId="77777777" w:rsidR="004F7FAB" w:rsidRDefault="004F7FAB" w:rsidP="008D5998">
      <w:pPr>
        <w:rPr>
          <w:lang w:val="x-none" w:eastAsia="x-none"/>
        </w:rPr>
      </w:pPr>
    </w:p>
    <w:p w14:paraId="755D7CB6" w14:textId="4AA83A23" w:rsidR="004F7FAB" w:rsidRPr="00896235" w:rsidRDefault="00BF70A1" w:rsidP="008D5998">
      <w:pPr>
        <w:rPr>
          <w:lang w:val="x-none" w:eastAsia="x-none"/>
        </w:rPr>
      </w:pPr>
      <m:oMath>
        <m:r>
          <w:rPr>
            <w:rFonts w:ascii="Cambria Math" w:hAnsi="Cambria Math"/>
            <w:lang w:val="x-none" w:eastAsia="x-none"/>
          </w:rPr>
          <m:t>I(z)=</m:t>
        </m:r>
        <w:bookmarkStart w:id="1" w:name="_Hlk180152991"/>
        <m:sSub>
          <m:sSubPr>
            <m:ctrlPr>
              <w:rPr>
                <w:rFonts w:ascii="Cambria Math" w:hAnsi="Cambria Math"/>
                <w:i/>
                <w:lang w:val="x-none" w:eastAsia="x-none"/>
              </w:rPr>
            </m:ctrlPr>
          </m:sSubPr>
          <m:e>
            <m:r>
              <w:rPr>
                <w:rFonts w:ascii="Cambria Math" w:hAnsi="Cambria Math"/>
                <w:lang w:val="x-none" w:eastAsia="x-none"/>
              </w:rPr>
              <m:t>I</m:t>
            </m:r>
          </m:e>
          <m:sub>
            <m:r>
              <w:rPr>
                <w:rFonts w:ascii="Cambria Math" w:hAnsi="Cambria Math"/>
                <w:lang w:val="x-none" w:eastAsia="x-none"/>
              </w:rPr>
              <m:t>0</m:t>
            </m:r>
          </m:sub>
        </m:sSub>
        <w:bookmarkEnd w:id="1"/>
        <m:sSup>
          <m:sSupPr>
            <m:ctrlPr>
              <w:rPr>
                <w:rFonts w:ascii="Cambria Math" w:hAnsi="Cambria Math"/>
                <w:i/>
                <w:lang w:val="x-none" w:eastAsia="x-none"/>
              </w:rPr>
            </m:ctrlPr>
          </m:sSupPr>
          <m:e>
            <m:r>
              <w:rPr>
                <w:rFonts w:ascii="Cambria Math" w:hAnsi="Cambria Math"/>
                <w:lang w:val="x-none" w:eastAsia="x-none"/>
              </w:rPr>
              <m:t>e</m:t>
            </m:r>
          </m:e>
          <m:sup>
            <m:r>
              <w:rPr>
                <w:rFonts w:ascii="Cambria Math" w:hAnsi="Cambria Math"/>
                <w:lang w:val="x-none" w:eastAsia="x-none"/>
              </w:rPr>
              <m:t>-</m:t>
            </m:r>
            <w:bookmarkStart w:id="2" w:name="_Hlk180153307"/>
            <m:r>
              <w:rPr>
                <w:rFonts w:ascii="Cambria Math" w:hAnsi="Cambria Math"/>
                <w:lang w:val="x-none" w:eastAsia="x-none"/>
              </w:rPr>
              <m:t>α</m:t>
            </m:r>
            <w:bookmarkEnd w:id="2"/>
            <m:r>
              <w:rPr>
                <w:rFonts w:ascii="Cambria Math" w:hAnsi="Cambria Math"/>
                <w:lang w:val="x-none" w:eastAsia="x-none"/>
              </w:rPr>
              <m:t>z</m:t>
            </m:r>
          </m:sup>
        </m:sSup>
      </m:oMath>
      <w:r w:rsidR="0036589E">
        <w:rPr>
          <w:lang w:val="x-none" w:eastAsia="x-none"/>
        </w:rPr>
        <w:tab/>
      </w:r>
      <w:r w:rsidR="0036589E">
        <w:rPr>
          <w:lang w:val="x-none" w:eastAsia="x-none"/>
        </w:rPr>
        <w:tab/>
      </w:r>
      <w:r w:rsidR="0036589E">
        <w:rPr>
          <w:lang w:val="x-none" w:eastAsia="x-none"/>
        </w:rPr>
        <w:tab/>
      </w:r>
      <w:r w:rsidR="0036589E">
        <w:rPr>
          <w:lang w:val="x-none" w:eastAsia="x-none"/>
        </w:rPr>
        <w:tab/>
      </w:r>
      <w:r w:rsidR="0036589E">
        <w:rPr>
          <w:lang w:val="x-none" w:eastAsia="x-none"/>
        </w:rPr>
        <w:tab/>
        <w:t xml:space="preserve">          (2)</w:t>
      </w:r>
    </w:p>
    <w:p w14:paraId="6490F926" w14:textId="77777777" w:rsidR="00146141" w:rsidRDefault="00146141" w:rsidP="008D5998">
      <w:pPr>
        <w:rPr>
          <w:lang w:val="x-none" w:eastAsia="x-none"/>
        </w:rPr>
      </w:pPr>
    </w:p>
    <w:p w14:paraId="627C9478" w14:textId="63CE5016" w:rsidR="002F216F" w:rsidRDefault="001F1943" w:rsidP="008D5998">
      <w:pPr>
        <w:rPr>
          <w:lang w:val="x-none" w:eastAsia="x-none"/>
        </w:rPr>
      </w:pPr>
      <w:r>
        <w:rPr>
          <w:lang w:val="x-none" w:eastAsia="x-none"/>
        </w:rPr>
        <w:t>w</w:t>
      </w:r>
      <w:r w:rsidR="002F216F">
        <w:rPr>
          <w:lang w:val="x-none" w:eastAsia="x-none"/>
        </w:rPr>
        <w:t>here</w:t>
      </w:r>
    </w:p>
    <w:p w14:paraId="1EEF41F7" w14:textId="77777777" w:rsidR="002F216F" w:rsidRDefault="002F216F" w:rsidP="008D5998">
      <w:pPr>
        <w:rPr>
          <w:lang w:val="x-none" w:eastAsia="x-none"/>
        </w:rPr>
      </w:pPr>
    </w:p>
    <w:p w14:paraId="418548D8" w14:textId="530B5414" w:rsidR="00745685" w:rsidRPr="002D7668" w:rsidRDefault="00000000" w:rsidP="002D7668">
      <w:pPr>
        <w:rPr>
          <w:lang w:val="x-none" w:eastAsia="x-none"/>
        </w:rPr>
      </w:pPr>
      <m:oMath>
        <m:sSub>
          <m:sSubPr>
            <m:ctrlPr>
              <w:rPr>
                <w:rFonts w:ascii="Cambria Math" w:hAnsi="Cambria Math"/>
                <w:i/>
                <w:lang w:val="x-none" w:eastAsia="x-none"/>
              </w:rPr>
            </m:ctrlPr>
          </m:sSubPr>
          <m:e>
            <m:r>
              <w:rPr>
                <w:rFonts w:ascii="Cambria Math" w:hAnsi="Cambria Math"/>
                <w:lang w:val="x-none" w:eastAsia="x-none"/>
              </w:rPr>
              <m:t>I</m:t>
            </m:r>
          </m:e>
          <m:sub>
            <m:r>
              <w:rPr>
                <w:rFonts w:ascii="Cambria Math" w:hAnsi="Cambria Math"/>
                <w:lang w:val="x-none" w:eastAsia="x-none"/>
              </w:rPr>
              <m:t>0</m:t>
            </m:r>
          </m:sub>
        </m:sSub>
      </m:oMath>
      <w:r w:rsidR="0085156E">
        <w:rPr>
          <w:lang w:val="x-none" w:eastAsia="x-none"/>
        </w:rPr>
        <w:t xml:space="preserve"> is </w:t>
      </w:r>
      <w:r w:rsidR="00745685">
        <w:rPr>
          <w:lang w:val="x-none" w:eastAsia="x-none"/>
        </w:rPr>
        <w:t>the initial intensity of the EW at the surface</w:t>
      </w:r>
    </w:p>
    <w:p w14:paraId="5181E127" w14:textId="16F5DDB2" w:rsidR="00A9487B" w:rsidRDefault="002D7668" w:rsidP="008D5998">
      <w:pPr>
        <w:rPr>
          <w:lang w:val="x-none" w:eastAsia="x-none"/>
        </w:rPr>
      </w:pPr>
      <w:r w:rsidRPr="002D7668">
        <w:rPr>
          <w:lang w:val="x-none" w:eastAsia="x-none"/>
        </w:rPr>
        <w:t>α</w:t>
      </w:r>
      <w:r>
        <w:rPr>
          <w:lang w:val="x-none" w:eastAsia="x-none"/>
        </w:rPr>
        <w:t xml:space="preserve"> is the </w:t>
      </w:r>
      <w:r w:rsidR="00BF6C29">
        <w:rPr>
          <w:lang w:val="x-none" w:eastAsia="x-none"/>
        </w:rPr>
        <w:t xml:space="preserve">decay constant </w:t>
      </w:r>
    </w:p>
    <w:p w14:paraId="3344EBB7" w14:textId="77777777" w:rsidR="004B4318" w:rsidRDefault="004B4318" w:rsidP="008D5998">
      <w:pPr>
        <w:rPr>
          <w:lang w:val="x-none" w:eastAsia="x-none"/>
        </w:rPr>
      </w:pPr>
    </w:p>
    <w:p w14:paraId="7F956FCB" w14:textId="04506AC6" w:rsidR="00BF6BD4" w:rsidRDefault="00112481" w:rsidP="0029118B">
      <w:pPr>
        <w:rPr>
          <w:lang w:val="x-none" w:eastAsia="x-none"/>
        </w:rPr>
      </w:pPr>
      <w:r>
        <w:rPr>
          <w:lang w:eastAsia="x-none"/>
        </w:rPr>
        <w:t>E</w:t>
      </w:r>
      <w:r w:rsidR="0029118B" w:rsidRPr="0029118B">
        <w:rPr>
          <w:lang w:eastAsia="x-none"/>
        </w:rPr>
        <w:t>xponentially decaying waves</w:t>
      </w:r>
      <w:r>
        <w:rPr>
          <w:lang w:eastAsia="x-none"/>
        </w:rPr>
        <w:t xml:space="preserve"> can penetrate the medium</w:t>
      </w:r>
      <w:r w:rsidR="0029118B" w:rsidRPr="0029118B">
        <w:rPr>
          <w:lang w:eastAsia="x-none"/>
        </w:rPr>
        <w:t>, and the penetration depth</w:t>
      </w:r>
      <w:r w:rsidR="00FB18F0">
        <w:rPr>
          <w:lang w:eastAsia="x-none"/>
        </w:rPr>
        <w:t xml:space="preserve"> </w:t>
      </w:r>
      <m:oMath>
        <m:sSub>
          <m:sSubPr>
            <m:ctrlPr>
              <w:rPr>
                <w:rFonts w:ascii="Cambria Math" w:hAnsi="Cambria Math"/>
                <w:i/>
                <w:lang w:val="x-none" w:eastAsia="x-none"/>
              </w:rPr>
            </m:ctrlPr>
          </m:sSubPr>
          <m:e>
            <m:r>
              <w:rPr>
                <w:rFonts w:ascii="Cambria Math" w:hAnsi="Cambria Math"/>
                <w:lang w:val="x-none" w:eastAsia="x-none"/>
              </w:rPr>
              <m:t>d</m:t>
            </m:r>
          </m:e>
          <m:sub>
            <m:r>
              <w:rPr>
                <w:rFonts w:ascii="Cambria Math" w:hAnsi="Cambria Math"/>
                <w:lang w:val="x-none" w:eastAsia="x-none"/>
              </w:rPr>
              <m:t>p</m:t>
            </m:r>
          </m:sub>
        </m:sSub>
      </m:oMath>
      <w:r w:rsidR="0029118B" w:rsidRPr="0029118B">
        <w:rPr>
          <w:lang w:eastAsia="x-none"/>
        </w:rPr>
        <w:t xml:space="preserve"> can be</w:t>
      </w:r>
      <w:r w:rsidR="00CF2134">
        <w:rPr>
          <w:lang w:val="x-none" w:eastAsia="x-none"/>
        </w:rPr>
        <w:t xml:space="preserve"> explained by</w:t>
      </w:r>
      <w:r w:rsidR="00860E3C">
        <w:rPr>
          <w:lang w:val="x-none" w:eastAsia="x-none"/>
        </w:rPr>
        <w:t>:</w:t>
      </w:r>
      <w:r w:rsidR="00CF2134">
        <w:rPr>
          <w:lang w:val="x-none" w:eastAsia="x-none"/>
        </w:rPr>
        <w:t xml:space="preserve"> </w:t>
      </w:r>
    </w:p>
    <w:p w14:paraId="3CBE5AFD" w14:textId="77777777" w:rsidR="00BF6BD4" w:rsidRDefault="00BF6BD4" w:rsidP="0029118B">
      <w:pPr>
        <w:rPr>
          <w:lang w:val="x-none" w:eastAsia="x-none"/>
        </w:rPr>
      </w:pPr>
    </w:p>
    <w:p w14:paraId="6B7D83AA" w14:textId="0B6BD851" w:rsidR="004B4318" w:rsidRPr="0036589E" w:rsidRDefault="00000000" w:rsidP="0039007E">
      <w:pPr>
        <w:jc w:val="left"/>
        <w:rPr>
          <w:sz w:val="24"/>
          <w:szCs w:val="24"/>
          <w:lang w:val="x-none" w:eastAsia="x-none"/>
        </w:rPr>
      </w:pPr>
      <m:oMath>
        <m:sSub>
          <m:sSubPr>
            <m:ctrlPr>
              <w:rPr>
                <w:rFonts w:ascii="Cambria Math" w:hAnsi="Cambria Math"/>
                <w:i/>
                <w:sz w:val="24"/>
                <w:szCs w:val="24"/>
                <w:lang w:val="x-none" w:eastAsia="x-none"/>
              </w:rPr>
            </m:ctrlPr>
          </m:sSubPr>
          <m:e>
            <m:r>
              <w:rPr>
                <w:rFonts w:ascii="Cambria Math" w:hAnsi="Cambria Math"/>
                <w:sz w:val="24"/>
                <w:szCs w:val="24"/>
                <w:lang w:val="x-none" w:eastAsia="x-none"/>
              </w:rPr>
              <m:t>d</m:t>
            </m:r>
          </m:e>
          <m:sub>
            <m:r>
              <w:rPr>
                <w:rFonts w:ascii="Cambria Math" w:hAnsi="Cambria Math"/>
                <w:sz w:val="24"/>
                <w:szCs w:val="24"/>
                <w:lang w:val="x-none" w:eastAsia="x-none"/>
              </w:rPr>
              <m:t>p</m:t>
            </m:r>
          </m:sub>
        </m:sSub>
        <m:r>
          <w:rPr>
            <w:rFonts w:ascii="Cambria Math" w:hAnsi="Cambria Math"/>
            <w:sz w:val="24"/>
            <w:szCs w:val="24"/>
            <w:lang w:val="x-none" w:eastAsia="x-none"/>
          </w:rPr>
          <m:t>=</m:t>
        </m:r>
        <m:f>
          <m:fPr>
            <m:ctrlPr>
              <w:rPr>
                <w:rFonts w:ascii="Cambria Math" w:hAnsi="Cambria Math"/>
                <w:i/>
                <w:sz w:val="24"/>
                <w:szCs w:val="24"/>
                <w:lang w:val="x-none" w:eastAsia="x-none"/>
              </w:rPr>
            </m:ctrlPr>
          </m:fPr>
          <m:num>
            <m:r>
              <w:rPr>
                <w:rFonts w:ascii="Cambria Math" w:hAnsi="Cambria Math"/>
                <w:sz w:val="24"/>
                <w:szCs w:val="24"/>
                <w:lang w:val="x-none" w:eastAsia="x-none"/>
              </w:rPr>
              <m:t>λ</m:t>
            </m:r>
          </m:num>
          <m:den>
            <m:r>
              <w:rPr>
                <w:rFonts w:ascii="Cambria Math" w:hAnsi="Cambria Math"/>
                <w:sz w:val="24"/>
                <w:szCs w:val="24"/>
                <w:lang w:val="x-none" w:eastAsia="x-none"/>
              </w:rPr>
              <m:t>2π</m:t>
            </m:r>
            <m:sSup>
              <m:sSupPr>
                <m:ctrlPr>
                  <w:rPr>
                    <w:rFonts w:ascii="Cambria Math" w:hAnsi="Cambria Math"/>
                    <w:sz w:val="24"/>
                    <w:szCs w:val="24"/>
                  </w:rPr>
                </m:ctrlPr>
              </m:sSupPr>
              <m:e>
                <m:d>
                  <m:dPr>
                    <m:ctrlPr>
                      <w:rPr>
                        <w:rFonts w:ascii="Cambria Math" w:hAnsi="Cambria Math"/>
                        <w:sz w:val="24"/>
                        <w:szCs w:val="24"/>
                      </w:rPr>
                    </m:ctrlPr>
                  </m:dPr>
                  <m:e>
                    <m:sSubSup>
                      <m:sSubSupPr>
                        <m:ctrlPr>
                          <w:rPr>
                            <w:rFonts w:ascii="Cambria Math" w:hAnsi="Cambria Math"/>
                            <w:i/>
                            <w:sz w:val="24"/>
                            <w:szCs w:val="24"/>
                          </w:rPr>
                        </m:ctrlPr>
                      </m:sSubSupPr>
                      <m:e>
                        <m:r>
                          <w:rPr>
                            <w:rFonts w:ascii="Cambria Math" w:hAnsi="Cambria Math"/>
                            <w:sz w:val="24"/>
                            <w:szCs w:val="24"/>
                          </w:rPr>
                          <m:t>n</m:t>
                        </m:r>
                      </m:e>
                      <m:sub>
                        <m:r>
                          <w:rPr>
                            <w:rFonts w:ascii="Cambria Math" w:hAnsi="Cambria Math"/>
                            <w:sz w:val="24"/>
                            <w:szCs w:val="24"/>
                          </w:rPr>
                          <m:t>co</m:t>
                        </m:r>
                      </m:sub>
                      <m:sup>
                        <m:r>
                          <w:rPr>
                            <w:rFonts w:ascii="Cambria Math" w:hAnsi="Cambria Math"/>
                            <w:sz w:val="24"/>
                            <w:szCs w:val="24"/>
                          </w:rPr>
                          <m:t>2</m:t>
                        </m:r>
                      </m:sup>
                    </m:sSubSup>
                    <m:sSup>
                      <m:sSupPr>
                        <m:ctrlPr>
                          <w:rPr>
                            <w:rFonts w:ascii="Cambria Math" w:hAnsi="Cambria Math"/>
                            <w:i/>
                            <w:sz w:val="24"/>
                            <w:szCs w:val="24"/>
                          </w:rPr>
                        </m:ctrlPr>
                      </m:sSupPr>
                      <m:e>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θ</m:t>
                            </m:r>
                          </m:e>
                        </m:func>
                      </m:e>
                      <m:sup>
                        <m:r>
                          <w:rPr>
                            <w:rFonts w:ascii="Cambria Math" w:hAnsi="Cambria Math"/>
                            <w:sz w:val="24"/>
                            <w:szCs w:val="24"/>
                          </w:rPr>
                          <m:t>2</m:t>
                        </m:r>
                      </m:sup>
                    </m:s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n</m:t>
                        </m:r>
                      </m:e>
                      <m:sub>
                        <m:r>
                          <w:rPr>
                            <w:rFonts w:ascii="Cambria Math" w:hAnsi="Cambria Math"/>
                            <w:sz w:val="24"/>
                            <w:szCs w:val="24"/>
                          </w:rPr>
                          <m:t>cl</m:t>
                        </m:r>
                      </m:sub>
                      <m:sup>
                        <m:r>
                          <w:rPr>
                            <w:rFonts w:ascii="Cambria Math" w:hAnsi="Cambria Math"/>
                            <w:sz w:val="24"/>
                            <w:szCs w:val="24"/>
                          </w:rPr>
                          <m:t>2</m:t>
                        </m:r>
                      </m:sup>
                    </m:sSubSup>
                  </m:e>
                </m:d>
              </m:e>
              <m:sup>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sup>
            </m:sSup>
          </m:den>
        </m:f>
      </m:oMath>
      <w:r w:rsidR="004779B5">
        <w:rPr>
          <w:sz w:val="24"/>
          <w:szCs w:val="24"/>
          <w:lang w:val="x-none" w:eastAsia="x-none"/>
        </w:rPr>
        <w:tab/>
      </w:r>
      <w:r w:rsidR="004779B5">
        <w:rPr>
          <w:sz w:val="24"/>
          <w:szCs w:val="24"/>
          <w:lang w:val="x-none" w:eastAsia="x-none"/>
        </w:rPr>
        <w:tab/>
      </w:r>
      <w:r w:rsidR="004779B5">
        <w:rPr>
          <w:sz w:val="24"/>
          <w:szCs w:val="24"/>
          <w:lang w:val="x-none" w:eastAsia="x-none"/>
        </w:rPr>
        <w:tab/>
      </w:r>
      <w:r w:rsidR="0039007E" w:rsidRPr="00C64577">
        <w:rPr>
          <w:lang w:val="x-none" w:eastAsia="x-none"/>
        </w:rPr>
        <w:t xml:space="preserve">       </w:t>
      </w:r>
      <w:r w:rsidR="004779B5" w:rsidRPr="00C64577">
        <w:rPr>
          <w:lang w:val="x-none" w:eastAsia="x-none"/>
        </w:rPr>
        <w:t>(3)</w:t>
      </w:r>
    </w:p>
    <w:p w14:paraId="08F0F6C4" w14:textId="0969ADC1" w:rsidR="00425689" w:rsidRDefault="00425689" w:rsidP="00FB3D63">
      <w:pPr>
        <w:jc w:val="center"/>
        <w:rPr>
          <w:lang w:val="x-none" w:eastAsia="x-none"/>
        </w:rPr>
      </w:pPr>
    </w:p>
    <w:p w14:paraId="784C120B" w14:textId="32595E38" w:rsidR="00A9487B" w:rsidRDefault="00E011ED" w:rsidP="008D5998">
      <w:pPr>
        <w:rPr>
          <w:lang w:val="x-none" w:eastAsia="x-none"/>
        </w:rPr>
      </w:pPr>
      <w:r>
        <w:rPr>
          <w:lang w:val="x-none" w:eastAsia="x-none"/>
        </w:rPr>
        <w:t>w</w:t>
      </w:r>
      <w:r w:rsidR="00FB18F0">
        <w:rPr>
          <w:lang w:val="x-none" w:eastAsia="x-none"/>
        </w:rPr>
        <w:t>here</w:t>
      </w:r>
      <w:r w:rsidR="00EF633A">
        <w:rPr>
          <w:lang w:val="x-none" w:eastAsia="x-none"/>
        </w:rPr>
        <w:t xml:space="preserve"> </w:t>
      </w:r>
    </w:p>
    <w:p w14:paraId="396000FC" w14:textId="77777777" w:rsidR="00E011ED" w:rsidRDefault="00E011ED" w:rsidP="008D5998">
      <w:pPr>
        <w:rPr>
          <w:lang w:val="x-none" w:eastAsia="x-none"/>
        </w:rPr>
      </w:pPr>
    </w:p>
    <w:p w14:paraId="43900664" w14:textId="4F653843" w:rsidR="00264837" w:rsidRDefault="00264837" w:rsidP="008D5998">
      <w:pPr>
        <w:rPr>
          <w:lang w:val="x-none" w:eastAsia="x-none"/>
        </w:rPr>
      </w:pPr>
      <w:r w:rsidRPr="00D855A5">
        <w:rPr>
          <w:i/>
          <w:iCs/>
          <w:lang w:val="x-none" w:eastAsia="x-none"/>
        </w:rPr>
        <w:t>λ</w:t>
      </w:r>
      <w:r w:rsidR="00D855A5">
        <w:rPr>
          <w:i/>
          <w:iCs/>
          <w:lang w:val="x-none" w:eastAsia="x-none"/>
        </w:rPr>
        <w:t xml:space="preserve"> </w:t>
      </w:r>
      <w:r w:rsidR="00D855A5">
        <w:rPr>
          <w:lang w:val="x-none" w:eastAsia="x-none"/>
        </w:rPr>
        <w:t>is waveleng</w:t>
      </w:r>
      <w:r w:rsidR="0047731A">
        <w:rPr>
          <w:lang w:val="x-none" w:eastAsia="x-none"/>
        </w:rPr>
        <w:t xml:space="preserve">th of incident </w:t>
      </w:r>
      <w:r w:rsidR="00BC5A52">
        <w:rPr>
          <w:lang w:val="x-none" w:eastAsia="x-none"/>
        </w:rPr>
        <w:t>light</w:t>
      </w:r>
    </w:p>
    <w:p w14:paraId="345D7C3C" w14:textId="76126D09" w:rsidR="00BC5A52" w:rsidRDefault="00BA00CE" w:rsidP="008D5998">
      <w:pPr>
        <w:rPr>
          <w:lang w:val="x-none" w:eastAsia="x-none"/>
        </w:rPr>
      </w:pPr>
      <w:r w:rsidRPr="004D1C16">
        <w:rPr>
          <w:lang w:val="x-none" w:eastAsia="x-none"/>
        </w:rPr>
        <w:t xml:space="preserve">θ is </w:t>
      </w:r>
      <w:r w:rsidR="008214B3" w:rsidRPr="004D1C16">
        <w:rPr>
          <w:lang w:val="x-none" w:eastAsia="x-none"/>
        </w:rPr>
        <w:t>incident angle</w:t>
      </w:r>
      <w:r w:rsidR="004D2DA3" w:rsidRPr="004D1C16">
        <w:rPr>
          <w:lang w:val="x-none" w:eastAsia="x-none"/>
        </w:rPr>
        <w:t xml:space="preserve"> at core-medium </w:t>
      </w:r>
      <w:r w:rsidR="009609AE" w:rsidRPr="004D1C16">
        <w:rPr>
          <w:lang w:val="x-none" w:eastAsia="x-none"/>
        </w:rPr>
        <w:t>interface</w:t>
      </w:r>
    </w:p>
    <w:p w14:paraId="33BAEF6D" w14:textId="77777777" w:rsidR="009609AE" w:rsidRDefault="009609AE" w:rsidP="008D5998">
      <w:pPr>
        <w:rPr>
          <w:lang w:val="x-none" w:eastAsia="x-none"/>
        </w:rPr>
      </w:pPr>
    </w:p>
    <w:p w14:paraId="4035B997" w14:textId="54ED130D" w:rsidR="00C44F1E" w:rsidRDefault="00AB6F98" w:rsidP="00124AFE">
      <w:pPr>
        <w:rPr>
          <w:lang w:val="x-none" w:eastAsia="x-none"/>
        </w:rPr>
      </w:pPr>
      <w:r w:rsidRPr="00AB6F98">
        <w:rPr>
          <w:lang w:val="x-none" w:eastAsia="x-none"/>
        </w:rPr>
        <w:t xml:space="preserve">The sensor was tapered </w:t>
      </w:r>
      <w:r w:rsidR="00251935">
        <w:rPr>
          <w:lang w:val="x-none" w:eastAsia="x-none"/>
        </w:rPr>
        <w:t>to enhance the strength of the EW</w:t>
      </w:r>
      <w:r w:rsidR="00740066">
        <w:rPr>
          <w:lang w:val="x-none" w:eastAsia="x-none"/>
        </w:rPr>
        <w:t xml:space="preserve"> in the cladding area. Its</w:t>
      </w:r>
      <w:r w:rsidRPr="00AB6F98">
        <w:rPr>
          <w:lang w:val="x-none" w:eastAsia="x-none"/>
        </w:rPr>
        <w:t xml:space="preserve"> diameter was reduced to less than its core diameter, allowing light to pass through the analyte at the sensing</w:t>
      </w:r>
      <w:r w:rsidR="00B92EF3">
        <w:rPr>
          <w:lang w:val="x-none" w:eastAsia="x-none"/>
        </w:rPr>
        <w:t xml:space="preserve"> area</w:t>
      </w:r>
      <w:r w:rsidR="00AC5892">
        <w:rPr>
          <w:lang w:val="x-none" w:eastAsia="x-none"/>
        </w:rPr>
        <w:t xml:space="preserve">. </w:t>
      </w:r>
      <w:r w:rsidR="00124AFE" w:rsidRPr="00124AFE">
        <w:rPr>
          <w:lang w:eastAsia="x-none"/>
        </w:rPr>
        <w:t xml:space="preserve">In the tapered region, Point Z represents the location between the core and cladding layers where the </w:t>
      </w:r>
      <w:r w:rsidR="00124AFE">
        <w:rPr>
          <w:lang w:eastAsia="x-none"/>
        </w:rPr>
        <w:t>incident</w:t>
      </w:r>
      <w:r w:rsidR="00124AFE" w:rsidRPr="00124AFE">
        <w:rPr>
          <w:lang w:eastAsia="x-none"/>
        </w:rPr>
        <w:t xml:space="preserve"> angle is produced, as illustrated in Figure </w:t>
      </w:r>
      <w:r w:rsidR="00754576">
        <w:rPr>
          <w:lang w:eastAsia="x-none"/>
        </w:rPr>
        <w:t>1</w:t>
      </w:r>
      <w:r w:rsidR="00124AFE" w:rsidRPr="00124AFE">
        <w:rPr>
          <w:lang w:eastAsia="x-none"/>
        </w:rPr>
        <w:t>.</w:t>
      </w:r>
      <w:r w:rsidR="00124AFE">
        <w:rPr>
          <w:lang w:eastAsia="x-none"/>
        </w:rPr>
        <w:t xml:space="preserve"> </w:t>
      </w:r>
      <w:r w:rsidR="00865D1F">
        <w:rPr>
          <w:lang w:val="x-none" w:eastAsia="x-none"/>
        </w:rPr>
        <w:t xml:space="preserve">Incident angle </w:t>
      </w:r>
      <m:oMath>
        <m:sSub>
          <m:sSubPr>
            <m:ctrlPr>
              <w:rPr>
                <w:rFonts w:ascii="Cambria Math" w:hAnsi="Cambria Math"/>
                <w:i/>
                <w:lang w:val="x-none" w:eastAsia="x-none"/>
              </w:rPr>
            </m:ctrlPr>
          </m:sSubPr>
          <m:e>
            <m:r>
              <w:rPr>
                <w:rFonts w:ascii="Cambria Math" w:hAnsi="Cambria Math"/>
                <w:lang w:val="x-none" w:eastAsia="x-none"/>
              </w:rPr>
              <m:t>θ</m:t>
            </m:r>
          </m:e>
          <m:sub>
            <m:r>
              <w:rPr>
                <w:rFonts w:ascii="Cambria Math" w:hAnsi="Cambria Math"/>
                <w:lang w:val="x-none" w:eastAsia="x-none"/>
              </w:rPr>
              <m:t>i</m:t>
            </m:r>
          </m:sub>
        </m:sSub>
        <m:d>
          <m:dPr>
            <m:ctrlPr>
              <w:rPr>
                <w:rFonts w:ascii="Cambria Math" w:hAnsi="Cambria Math"/>
                <w:i/>
                <w:lang w:val="x-none" w:eastAsia="x-none"/>
              </w:rPr>
            </m:ctrlPr>
          </m:dPr>
          <m:e>
            <m:r>
              <m:rPr>
                <m:scr m:val="script"/>
              </m:rPr>
              <w:rPr>
                <w:rFonts w:ascii="Cambria Math" w:hAnsi="Cambria Math"/>
                <w:lang w:val="x-none" w:eastAsia="x-none"/>
              </w:rPr>
              <m:t>z</m:t>
            </m:r>
          </m:e>
        </m:d>
      </m:oMath>
      <w:r w:rsidR="00915100">
        <w:rPr>
          <w:lang w:val="x-none" w:eastAsia="x-none"/>
        </w:rPr>
        <w:t xml:space="preserve"> is given by :</w:t>
      </w:r>
    </w:p>
    <w:p w14:paraId="4C4C9FBA" w14:textId="77777777" w:rsidR="002A48C4" w:rsidRDefault="002A48C4" w:rsidP="006D1114">
      <w:pPr>
        <w:rPr>
          <w:lang w:val="x-none" w:eastAsia="x-none"/>
        </w:rPr>
      </w:pPr>
    </w:p>
    <w:p w14:paraId="1F7F1318" w14:textId="5E58CBDD" w:rsidR="002A48C4" w:rsidRPr="00C64577" w:rsidRDefault="00000000" w:rsidP="006D1114">
      <w:pPr>
        <w:rPr>
          <w:lang w:val="x-none" w:eastAsia="x-none"/>
        </w:rPr>
      </w:pPr>
      <m:oMath>
        <m:sSub>
          <m:sSubPr>
            <m:ctrlPr>
              <w:rPr>
                <w:rFonts w:ascii="Cambria Math" w:hAnsi="Cambria Math"/>
                <w:i/>
                <w:lang w:val="x-none" w:eastAsia="x-none"/>
              </w:rPr>
            </m:ctrlPr>
          </m:sSubPr>
          <m:e>
            <m:r>
              <w:rPr>
                <w:rFonts w:ascii="Cambria Math" w:hAnsi="Cambria Math"/>
                <w:lang w:val="x-none" w:eastAsia="x-none"/>
              </w:rPr>
              <m:t>θ</m:t>
            </m:r>
          </m:e>
          <m:sub>
            <m:r>
              <w:rPr>
                <w:rFonts w:ascii="Cambria Math" w:hAnsi="Cambria Math"/>
                <w:lang w:val="x-none" w:eastAsia="x-none"/>
              </w:rPr>
              <m:t>i</m:t>
            </m:r>
          </m:sub>
        </m:sSub>
        <m:d>
          <m:dPr>
            <m:ctrlPr>
              <w:rPr>
                <w:rFonts w:ascii="Cambria Math" w:hAnsi="Cambria Math"/>
                <w:i/>
                <w:lang w:val="x-none" w:eastAsia="x-none"/>
              </w:rPr>
            </m:ctrlPr>
          </m:dPr>
          <m:e>
            <m:r>
              <m:rPr>
                <m:scr m:val="script"/>
              </m:rPr>
              <w:rPr>
                <w:rFonts w:ascii="Cambria Math" w:hAnsi="Cambria Math"/>
                <w:lang w:val="x-none" w:eastAsia="x-none"/>
              </w:rPr>
              <m:t>z</m:t>
            </m:r>
          </m:e>
        </m:d>
        <m:r>
          <w:rPr>
            <w:rFonts w:ascii="Cambria Math" w:hAnsi="Cambria Math"/>
            <w:lang w:val="x-none" w:eastAsia="x-none"/>
          </w:rPr>
          <m:t>=</m:t>
        </m:r>
        <m:f>
          <m:fPr>
            <m:ctrlPr>
              <w:rPr>
                <w:rFonts w:ascii="Cambria Math" w:hAnsi="Cambria Math"/>
                <w:i/>
                <w:lang w:val="x-none" w:eastAsia="x-none"/>
              </w:rPr>
            </m:ctrlPr>
          </m:fPr>
          <m:num>
            <m:r>
              <w:rPr>
                <w:rFonts w:ascii="Cambria Math" w:hAnsi="Cambria Math"/>
                <w:lang w:val="x-none" w:eastAsia="x-none"/>
              </w:rPr>
              <m:t>π</m:t>
            </m:r>
          </m:num>
          <m:den>
            <m:r>
              <w:rPr>
                <w:rFonts w:ascii="Cambria Math" w:hAnsi="Cambria Math"/>
                <w:lang w:val="x-none" w:eastAsia="x-none"/>
              </w:rPr>
              <m:t>2</m:t>
            </m:r>
          </m:den>
        </m:f>
        <m:r>
          <w:rPr>
            <w:rFonts w:ascii="Cambria Math" w:hAnsi="Cambria Math"/>
            <w:lang w:val="x-none" w:eastAsia="x-none"/>
          </w:rPr>
          <m:t>-</m:t>
        </m:r>
        <m:sSub>
          <m:sSubPr>
            <m:ctrlPr>
              <w:rPr>
                <w:rFonts w:ascii="Cambria Math" w:hAnsi="Cambria Math"/>
                <w:i/>
                <w:lang w:val="x-none" w:eastAsia="x-none"/>
              </w:rPr>
            </m:ctrlPr>
          </m:sSubPr>
          <m:e>
            <m:r>
              <w:rPr>
                <w:rFonts w:ascii="Cambria Math" w:hAnsi="Cambria Math"/>
                <w:lang w:val="x-none" w:eastAsia="x-none"/>
              </w:rPr>
              <m:t>β</m:t>
            </m:r>
          </m:e>
          <m:sub>
            <m:r>
              <w:rPr>
                <w:rFonts w:ascii="Cambria Math" w:hAnsi="Cambria Math"/>
                <w:lang w:val="x-none" w:eastAsia="x-none"/>
              </w:rPr>
              <m:t>T</m:t>
            </m:r>
          </m:sub>
        </m:sSub>
        <m:r>
          <w:rPr>
            <w:rFonts w:ascii="Cambria Math" w:hAnsi="Cambria Math"/>
            <w:lang w:val="x-none" w:eastAsia="x-none"/>
          </w:rPr>
          <m:t>-</m:t>
        </m:r>
        <m:sSub>
          <m:sSubPr>
            <m:ctrlPr>
              <w:rPr>
                <w:rFonts w:ascii="Cambria Math" w:hAnsi="Cambria Math"/>
                <w:i/>
                <w:lang w:val="x-none" w:eastAsia="x-none"/>
              </w:rPr>
            </m:ctrlPr>
          </m:sSubPr>
          <m:e>
            <m:r>
              <w:rPr>
                <w:rFonts w:ascii="Cambria Math" w:hAnsi="Cambria Math"/>
                <w:lang w:val="x-none" w:eastAsia="x-none"/>
              </w:rPr>
              <m:t>α</m:t>
            </m:r>
          </m:e>
          <m:sub>
            <m:r>
              <m:rPr>
                <m:scr m:val="script"/>
              </m:rPr>
              <w:rPr>
                <w:rFonts w:ascii="Cambria Math" w:hAnsi="Cambria Math"/>
                <w:lang w:val="x-none" w:eastAsia="x-none"/>
              </w:rPr>
              <m:t>z</m:t>
            </m:r>
          </m:sub>
        </m:sSub>
      </m:oMath>
      <w:r w:rsidR="00C64577">
        <w:rPr>
          <w:lang w:val="x-none" w:eastAsia="x-none"/>
        </w:rPr>
        <w:tab/>
      </w:r>
      <w:r w:rsidR="00C64577">
        <w:rPr>
          <w:lang w:val="x-none" w:eastAsia="x-none"/>
        </w:rPr>
        <w:tab/>
      </w:r>
      <w:r w:rsidR="00C64577">
        <w:rPr>
          <w:lang w:val="x-none" w:eastAsia="x-none"/>
        </w:rPr>
        <w:tab/>
      </w:r>
      <w:r w:rsidR="00C64577">
        <w:rPr>
          <w:lang w:val="x-none" w:eastAsia="x-none"/>
        </w:rPr>
        <w:tab/>
        <w:t xml:space="preserve">          (4)</w:t>
      </w:r>
    </w:p>
    <w:p w14:paraId="238E4C8C" w14:textId="77777777" w:rsidR="00915100" w:rsidRDefault="00915100" w:rsidP="006D1114">
      <w:pPr>
        <w:rPr>
          <w:lang w:val="x-none" w:eastAsia="x-none"/>
        </w:rPr>
      </w:pPr>
    </w:p>
    <w:p w14:paraId="2363EC2A" w14:textId="360069D5" w:rsidR="00B33815" w:rsidRDefault="00F4704F" w:rsidP="006304C8">
      <w:pPr>
        <w:rPr>
          <w:lang w:val="x-none" w:eastAsia="x-none"/>
        </w:rPr>
      </w:pPr>
      <w:r>
        <w:rPr>
          <w:lang w:val="x-none" w:eastAsia="x-none"/>
        </w:rPr>
        <w:t>w</w:t>
      </w:r>
      <w:r w:rsidR="0075191C">
        <w:rPr>
          <w:lang w:val="x-none" w:eastAsia="x-none"/>
        </w:rPr>
        <w:t>h</w:t>
      </w:r>
      <w:r w:rsidR="00022484">
        <w:rPr>
          <w:lang w:val="x-none" w:eastAsia="x-none"/>
        </w:rPr>
        <w:t xml:space="preserve">ere </w:t>
      </w:r>
      <m:oMath>
        <m:sSub>
          <m:sSubPr>
            <m:ctrlPr>
              <w:rPr>
                <w:rFonts w:ascii="Cambria Math" w:hAnsi="Cambria Math"/>
                <w:i/>
                <w:lang w:val="x-none" w:eastAsia="x-none"/>
              </w:rPr>
            </m:ctrlPr>
          </m:sSubPr>
          <m:e>
            <m:r>
              <w:rPr>
                <w:rFonts w:ascii="Cambria Math" w:hAnsi="Cambria Math"/>
                <w:lang w:val="x-none" w:eastAsia="x-none"/>
              </w:rPr>
              <m:t>β</m:t>
            </m:r>
          </m:e>
          <m:sub>
            <m:r>
              <w:rPr>
                <w:rFonts w:ascii="Cambria Math" w:hAnsi="Cambria Math"/>
                <w:lang w:val="x-none" w:eastAsia="x-none"/>
              </w:rPr>
              <m:t>T</m:t>
            </m:r>
          </m:sub>
        </m:sSub>
      </m:oMath>
      <w:r w:rsidR="00022484">
        <w:rPr>
          <w:lang w:val="x-none" w:eastAsia="x-none"/>
        </w:rPr>
        <w:t xml:space="preserve"> and </w:t>
      </w:r>
      <m:oMath>
        <m:sSub>
          <m:sSubPr>
            <m:ctrlPr>
              <w:rPr>
                <w:rFonts w:ascii="Cambria Math" w:hAnsi="Cambria Math"/>
                <w:i/>
                <w:lang w:val="x-none" w:eastAsia="x-none"/>
              </w:rPr>
            </m:ctrlPr>
          </m:sSubPr>
          <m:e>
            <m:r>
              <w:rPr>
                <w:rFonts w:ascii="Cambria Math" w:hAnsi="Cambria Math"/>
                <w:lang w:val="x-none" w:eastAsia="x-none"/>
              </w:rPr>
              <m:t>α</m:t>
            </m:r>
          </m:e>
          <m:sub>
            <m:r>
              <m:rPr>
                <m:scr m:val="script"/>
              </m:rPr>
              <w:rPr>
                <w:rFonts w:ascii="Cambria Math" w:hAnsi="Cambria Math"/>
                <w:lang w:val="x-none" w:eastAsia="x-none"/>
              </w:rPr>
              <m:t>z</m:t>
            </m:r>
          </m:sub>
        </m:sSub>
      </m:oMath>
      <w:r w:rsidR="006304C8">
        <w:rPr>
          <w:lang w:val="x-none" w:eastAsia="x-none"/>
        </w:rPr>
        <w:t xml:space="preserve"> </w:t>
      </w:r>
      <w:r w:rsidR="009F4120">
        <w:rPr>
          <w:lang w:val="x-none" w:eastAsia="x-none"/>
        </w:rPr>
        <w:t>correspond</w:t>
      </w:r>
      <w:r w:rsidR="00630182">
        <w:rPr>
          <w:lang w:val="x-none" w:eastAsia="x-none"/>
        </w:rPr>
        <w:t xml:space="preserve"> to the taper </w:t>
      </w:r>
      <w:r w:rsidR="006304C8">
        <w:rPr>
          <w:lang w:val="x-none" w:eastAsia="x-none"/>
        </w:rPr>
        <w:t>and launch angle</w:t>
      </w:r>
      <w:r w:rsidR="00630182">
        <w:rPr>
          <w:lang w:val="x-none" w:eastAsia="x-none"/>
        </w:rPr>
        <w:t xml:space="preserve"> respectively.</w:t>
      </w:r>
      <w:r w:rsidR="00AD2D1A">
        <w:rPr>
          <w:lang w:val="x-none" w:eastAsia="x-none"/>
        </w:rPr>
        <w:t xml:space="preserve"> </w:t>
      </w:r>
      <w:r w:rsidR="00C005AD">
        <w:rPr>
          <w:lang w:val="x-none" w:eastAsia="x-none"/>
        </w:rPr>
        <w:t>The t</w:t>
      </w:r>
      <w:r w:rsidR="009C443C">
        <w:rPr>
          <w:lang w:val="x-none" w:eastAsia="x-none"/>
        </w:rPr>
        <w:t>aper angle (</w:t>
      </w:r>
      <m:oMath>
        <m:sSub>
          <m:sSubPr>
            <m:ctrlPr>
              <w:rPr>
                <w:rFonts w:ascii="Cambria Math" w:hAnsi="Cambria Math"/>
                <w:i/>
                <w:lang w:val="x-none" w:eastAsia="x-none"/>
              </w:rPr>
            </m:ctrlPr>
          </m:sSubPr>
          <m:e>
            <m:r>
              <w:rPr>
                <w:rFonts w:ascii="Cambria Math" w:hAnsi="Cambria Math"/>
                <w:lang w:val="x-none" w:eastAsia="x-none"/>
              </w:rPr>
              <m:t>β</m:t>
            </m:r>
          </m:e>
          <m:sub>
            <m:r>
              <w:rPr>
                <w:rFonts w:ascii="Cambria Math" w:hAnsi="Cambria Math"/>
                <w:lang w:val="x-none" w:eastAsia="x-none"/>
              </w:rPr>
              <m:t>T</m:t>
            </m:r>
          </m:sub>
        </m:sSub>
      </m:oMath>
      <w:r w:rsidR="00A030F6">
        <w:rPr>
          <w:lang w:val="x-none" w:eastAsia="x-none"/>
        </w:rPr>
        <w:t xml:space="preserve">) can be </w:t>
      </w:r>
      <w:r w:rsidR="00320283">
        <w:rPr>
          <w:lang w:val="x-none" w:eastAsia="x-none"/>
        </w:rPr>
        <w:t xml:space="preserve">explained </w:t>
      </w:r>
      <w:r w:rsidR="00A030F6">
        <w:rPr>
          <w:lang w:val="x-none" w:eastAsia="x-none"/>
        </w:rPr>
        <w:t>as</w:t>
      </w:r>
      <w:r w:rsidR="00211EF4">
        <w:rPr>
          <w:lang w:val="x-none" w:eastAsia="x-none"/>
        </w:rPr>
        <w:t xml:space="preserve"> follows</w:t>
      </w:r>
      <w:r w:rsidR="00A030F6">
        <w:rPr>
          <w:lang w:val="x-none" w:eastAsia="x-none"/>
        </w:rPr>
        <w:t>:</w:t>
      </w:r>
    </w:p>
    <w:p w14:paraId="6F398AD3" w14:textId="77777777" w:rsidR="00DD7288" w:rsidRDefault="00DD7288" w:rsidP="006304C8">
      <w:pPr>
        <w:rPr>
          <w:lang w:val="x-none" w:eastAsia="x-none"/>
        </w:rPr>
      </w:pPr>
    </w:p>
    <w:p w14:paraId="798F773D" w14:textId="0717B837" w:rsidR="009827B7" w:rsidRPr="00C64577" w:rsidRDefault="00000000" w:rsidP="006304C8">
      <w:pPr>
        <w:rPr>
          <w:lang w:val="x-none" w:eastAsia="x-none"/>
        </w:rPr>
      </w:pPr>
      <m:oMath>
        <m:sSub>
          <m:sSubPr>
            <m:ctrlPr>
              <w:rPr>
                <w:rFonts w:ascii="Cambria Math" w:hAnsi="Cambria Math"/>
                <w:i/>
                <w:lang w:val="x-none" w:eastAsia="x-none"/>
              </w:rPr>
            </m:ctrlPr>
          </m:sSubPr>
          <m:e>
            <m:r>
              <w:rPr>
                <w:rFonts w:ascii="Cambria Math" w:hAnsi="Cambria Math"/>
                <w:lang w:val="x-none" w:eastAsia="x-none"/>
              </w:rPr>
              <m:t>β</m:t>
            </m:r>
          </m:e>
          <m:sub>
            <m:r>
              <w:rPr>
                <w:rFonts w:ascii="Cambria Math" w:hAnsi="Cambria Math"/>
                <w:lang w:val="x-none" w:eastAsia="x-none"/>
              </w:rPr>
              <m:t>T</m:t>
            </m:r>
          </m:sub>
        </m:sSub>
        <m:r>
          <w:rPr>
            <w:rFonts w:ascii="Cambria Math" w:hAnsi="Cambria Math"/>
            <w:lang w:val="x-none" w:eastAsia="x-none"/>
          </w:rPr>
          <m:t xml:space="preserve">= </m:t>
        </m:r>
        <m:func>
          <m:funcPr>
            <m:ctrlPr>
              <w:rPr>
                <w:rFonts w:ascii="Cambria Math" w:hAnsi="Cambria Math"/>
                <w:i/>
                <w:lang w:val="x-none" w:eastAsia="x-none"/>
              </w:rPr>
            </m:ctrlPr>
          </m:funcPr>
          <m:fName>
            <m:sSup>
              <m:sSupPr>
                <m:ctrlPr>
                  <w:rPr>
                    <w:rFonts w:ascii="Cambria Math" w:hAnsi="Cambria Math"/>
                    <w:i/>
                    <w:lang w:val="x-none" w:eastAsia="x-none"/>
                  </w:rPr>
                </m:ctrlPr>
              </m:sSupPr>
              <m:e>
                <m:r>
                  <m:rPr>
                    <m:sty m:val="p"/>
                  </m:rPr>
                  <w:rPr>
                    <w:rFonts w:ascii="Cambria Math" w:hAnsi="Cambria Math"/>
                    <w:lang w:val="x-none" w:eastAsia="x-none"/>
                  </w:rPr>
                  <m:t>tan</m:t>
                </m:r>
              </m:e>
              <m:sup>
                <m:r>
                  <w:rPr>
                    <w:rFonts w:ascii="Cambria Math" w:hAnsi="Cambria Math"/>
                    <w:lang w:val="x-none" w:eastAsia="x-none"/>
                  </w:rPr>
                  <m:t>-1</m:t>
                </m:r>
              </m:sup>
            </m:sSup>
          </m:fName>
          <m:e>
            <m:d>
              <m:dPr>
                <m:ctrlPr>
                  <w:rPr>
                    <w:rFonts w:ascii="Cambria Math" w:hAnsi="Cambria Math"/>
                    <w:i/>
                    <w:lang w:val="x-none" w:eastAsia="x-none"/>
                  </w:rPr>
                </m:ctrlPr>
              </m:dPr>
              <m:e>
                <m:f>
                  <m:fPr>
                    <m:ctrlPr>
                      <w:rPr>
                        <w:rFonts w:ascii="Cambria Math" w:hAnsi="Cambria Math"/>
                        <w:i/>
                        <w:lang w:val="x-none" w:eastAsia="x-none"/>
                      </w:rPr>
                    </m:ctrlPr>
                  </m:fPr>
                  <m:num>
                    <m:sSub>
                      <m:sSubPr>
                        <m:ctrlPr>
                          <w:rPr>
                            <w:rFonts w:ascii="Cambria Math" w:hAnsi="Cambria Math"/>
                            <w:i/>
                            <w:lang w:val="x-none" w:eastAsia="x-none"/>
                          </w:rPr>
                        </m:ctrlPr>
                      </m:sSubPr>
                      <m:e>
                        <m:r>
                          <w:rPr>
                            <w:rFonts w:ascii="Cambria Math" w:hAnsi="Cambria Math"/>
                            <w:lang w:val="x-none" w:eastAsia="x-none"/>
                          </w:rPr>
                          <m:t>R</m:t>
                        </m:r>
                      </m:e>
                      <m:sub>
                        <m:r>
                          <w:rPr>
                            <w:rFonts w:ascii="Cambria Math" w:hAnsi="Cambria Math"/>
                            <w:lang w:val="x-none" w:eastAsia="x-none"/>
                          </w:rPr>
                          <m:t>0</m:t>
                        </m:r>
                      </m:sub>
                    </m:sSub>
                    <m:r>
                      <w:rPr>
                        <w:rFonts w:ascii="Cambria Math" w:hAnsi="Cambria Math"/>
                        <w:lang w:val="x-none" w:eastAsia="x-none"/>
                      </w:rPr>
                      <m:t>-</m:t>
                    </m:r>
                    <m:sSub>
                      <m:sSubPr>
                        <m:ctrlPr>
                          <w:rPr>
                            <w:rFonts w:ascii="Cambria Math" w:hAnsi="Cambria Math"/>
                            <w:i/>
                            <w:lang w:val="x-none" w:eastAsia="x-none"/>
                          </w:rPr>
                        </m:ctrlPr>
                      </m:sSubPr>
                      <m:e>
                        <m:r>
                          <w:rPr>
                            <w:rFonts w:ascii="Cambria Math" w:hAnsi="Cambria Math"/>
                            <w:lang w:val="x-none" w:eastAsia="x-none"/>
                          </w:rPr>
                          <m:t>R</m:t>
                        </m:r>
                      </m:e>
                      <m:sub>
                        <m:r>
                          <w:rPr>
                            <w:rFonts w:ascii="Cambria Math" w:hAnsi="Cambria Math"/>
                            <w:lang w:val="x-none" w:eastAsia="x-none"/>
                          </w:rPr>
                          <m:t>L</m:t>
                        </m:r>
                      </m:sub>
                    </m:sSub>
                  </m:num>
                  <m:den>
                    <m:r>
                      <w:rPr>
                        <w:rFonts w:ascii="Cambria Math" w:hAnsi="Cambria Math"/>
                        <w:lang w:val="x-none" w:eastAsia="x-none"/>
                      </w:rPr>
                      <m:t>L</m:t>
                    </m:r>
                  </m:den>
                </m:f>
              </m:e>
            </m:d>
          </m:e>
        </m:func>
      </m:oMath>
      <w:r w:rsidR="00C64577">
        <w:rPr>
          <w:lang w:val="x-none" w:eastAsia="x-none"/>
        </w:rPr>
        <w:tab/>
      </w:r>
      <w:r w:rsidR="00C64577">
        <w:rPr>
          <w:lang w:val="x-none" w:eastAsia="x-none"/>
        </w:rPr>
        <w:tab/>
      </w:r>
      <w:r w:rsidR="00C64577">
        <w:rPr>
          <w:lang w:val="x-none" w:eastAsia="x-none"/>
        </w:rPr>
        <w:tab/>
      </w:r>
      <w:r w:rsidR="00C64577">
        <w:rPr>
          <w:lang w:val="x-none" w:eastAsia="x-none"/>
        </w:rPr>
        <w:tab/>
        <w:t xml:space="preserve">          (5)</w:t>
      </w:r>
    </w:p>
    <w:p w14:paraId="1F4E205A" w14:textId="77777777" w:rsidR="00211EF4" w:rsidRDefault="00211EF4" w:rsidP="006304C8">
      <w:pPr>
        <w:rPr>
          <w:lang w:val="x-none" w:eastAsia="x-none"/>
        </w:rPr>
      </w:pPr>
    </w:p>
    <w:p w14:paraId="58A2942B" w14:textId="1C910B26" w:rsidR="00D76AF0" w:rsidRDefault="00A918C4" w:rsidP="0032216C">
      <w:pPr>
        <w:jc w:val="left"/>
        <w:rPr>
          <w:lang w:val="x-none" w:eastAsia="x-none"/>
        </w:rPr>
      </w:pPr>
      <w:r>
        <w:rPr>
          <w:lang w:val="x-none" w:eastAsia="x-none"/>
        </w:rPr>
        <w:t>w</w:t>
      </w:r>
      <w:r w:rsidR="00CB6A37">
        <w:rPr>
          <w:lang w:val="x-none" w:eastAsia="x-none"/>
        </w:rPr>
        <w:t xml:space="preserve">here </w:t>
      </w:r>
      <m:oMath>
        <m:sSub>
          <m:sSubPr>
            <m:ctrlPr>
              <w:rPr>
                <w:rFonts w:ascii="Cambria Math" w:hAnsi="Cambria Math"/>
                <w:i/>
                <w:lang w:val="x-none" w:eastAsia="x-none"/>
              </w:rPr>
            </m:ctrlPr>
          </m:sSubPr>
          <m:e>
            <m:r>
              <w:rPr>
                <w:rFonts w:ascii="Cambria Math" w:hAnsi="Cambria Math"/>
                <w:lang w:val="x-none" w:eastAsia="x-none"/>
              </w:rPr>
              <m:t>R</m:t>
            </m:r>
          </m:e>
          <m:sub>
            <m:r>
              <w:rPr>
                <w:rFonts w:ascii="Cambria Math" w:hAnsi="Cambria Math"/>
                <w:lang w:val="x-none" w:eastAsia="x-none"/>
              </w:rPr>
              <m:t>0</m:t>
            </m:r>
          </m:sub>
        </m:sSub>
        <m:r>
          <w:rPr>
            <w:rFonts w:ascii="Cambria Math" w:hAnsi="Cambria Math"/>
            <w:lang w:val="x-none" w:eastAsia="x-none"/>
          </w:rPr>
          <m:t>,</m:t>
        </m:r>
        <m:sSub>
          <m:sSubPr>
            <m:ctrlPr>
              <w:rPr>
                <w:rFonts w:ascii="Cambria Math" w:hAnsi="Cambria Math"/>
                <w:i/>
                <w:lang w:val="x-none" w:eastAsia="x-none"/>
              </w:rPr>
            </m:ctrlPr>
          </m:sSubPr>
          <m:e>
            <m:r>
              <w:rPr>
                <w:rFonts w:ascii="Cambria Math" w:hAnsi="Cambria Math"/>
                <w:lang w:val="x-none" w:eastAsia="x-none"/>
              </w:rPr>
              <m:t>R</m:t>
            </m:r>
          </m:e>
          <m:sub>
            <m:r>
              <w:rPr>
                <w:rFonts w:ascii="Cambria Math" w:hAnsi="Cambria Math"/>
                <w:lang w:val="x-none" w:eastAsia="x-none"/>
              </w:rPr>
              <m:t>L</m:t>
            </m:r>
          </m:sub>
        </m:sSub>
      </m:oMath>
      <w:r w:rsidR="00693682">
        <w:rPr>
          <w:lang w:val="x-none" w:eastAsia="x-none"/>
        </w:rPr>
        <w:t xml:space="preserve"> and </w:t>
      </w:r>
      <w:r w:rsidR="0032216C" w:rsidRPr="0032216C">
        <w:rPr>
          <w:i/>
          <w:iCs/>
          <w:lang w:val="x-none" w:eastAsia="x-none"/>
        </w:rPr>
        <w:t>L</w:t>
      </w:r>
      <w:r w:rsidR="0032216C">
        <w:rPr>
          <w:i/>
          <w:iCs/>
          <w:lang w:val="x-none" w:eastAsia="x-none"/>
        </w:rPr>
        <w:t xml:space="preserve"> </w:t>
      </w:r>
      <w:r w:rsidR="0032216C">
        <w:rPr>
          <w:lang w:val="x-none" w:eastAsia="x-none"/>
        </w:rPr>
        <w:t>are the initial radius, final taper radius</w:t>
      </w:r>
      <w:r w:rsidR="00480DAC">
        <w:rPr>
          <w:lang w:val="x-none" w:eastAsia="x-none"/>
        </w:rPr>
        <w:t>, and tapered region length, respectively.</w:t>
      </w:r>
    </w:p>
    <w:p w14:paraId="51E5B9AB" w14:textId="3FCA48D5" w:rsidR="00480DAC" w:rsidRDefault="006A76C5" w:rsidP="000829F0">
      <w:pPr>
        <w:pStyle w:val="IJNEAMParagraph"/>
      </w:pPr>
      <w:r w:rsidRPr="006A76C5">
        <w:t xml:space="preserve">The </w:t>
      </w:r>
      <w:r w:rsidR="006750E9">
        <w:t xml:space="preserve">taper profile influences the </w:t>
      </w:r>
      <w:r w:rsidRPr="006A76C5">
        <w:t xml:space="preserve">launch angle </w:t>
      </w:r>
      <m:oMath>
        <m:sSub>
          <m:sSubPr>
            <m:ctrlPr>
              <w:rPr>
                <w:rFonts w:ascii="Cambria Math" w:hAnsi="Cambria Math"/>
                <w:i/>
                <w:lang w:val="x-none" w:eastAsia="x-none"/>
              </w:rPr>
            </m:ctrlPr>
          </m:sSubPr>
          <m:e>
            <m:r>
              <w:rPr>
                <w:rFonts w:ascii="Cambria Math" w:hAnsi="Cambria Math"/>
                <w:lang w:val="x-none" w:eastAsia="x-none"/>
              </w:rPr>
              <m:t>α</m:t>
            </m:r>
          </m:e>
          <m:sub>
            <m:r>
              <m:rPr>
                <m:scr m:val="script"/>
              </m:rPr>
              <w:rPr>
                <w:rFonts w:ascii="Cambria Math" w:hAnsi="Cambria Math"/>
                <w:lang w:val="x-none" w:eastAsia="x-none"/>
              </w:rPr>
              <m:t>z</m:t>
            </m:r>
          </m:sub>
        </m:sSub>
      </m:oMath>
      <w:r w:rsidRPr="006A76C5">
        <w:t xml:space="preserve"> for a tapered structure. </w:t>
      </w:r>
      <w:r w:rsidR="000829F0" w:rsidRPr="000829F0">
        <w:t>In the specific case of a linear taper geometry, the relationship between these parameters can be described by the following equation</w:t>
      </w:r>
      <w:r w:rsidR="00942ACC">
        <w:t>:</w:t>
      </w:r>
    </w:p>
    <w:p w14:paraId="263662A4" w14:textId="7CF25750" w:rsidR="00FD3AE4" w:rsidRPr="00C64577" w:rsidRDefault="00000000" w:rsidP="0032216C">
      <w:pPr>
        <w:jc w:val="left"/>
        <w:rPr>
          <w:lang w:val="x-none" w:eastAsia="x-none"/>
        </w:rPr>
      </w:pPr>
      <m:oMath>
        <m:sSub>
          <m:sSubPr>
            <m:ctrlPr>
              <w:rPr>
                <w:rFonts w:ascii="Cambria Math" w:hAnsi="Cambria Math"/>
                <w:i/>
                <w:lang w:val="x-none" w:eastAsia="x-none"/>
              </w:rPr>
            </m:ctrlPr>
          </m:sSubPr>
          <m:e>
            <m:r>
              <w:rPr>
                <w:rFonts w:ascii="Cambria Math" w:hAnsi="Cambria Math"/>
                <w:lang w:val="x-none" w:eastAsia="x-none"/>
              </w:rPr>
              <m:t>α</m:t>
            </m:r>
          </m:e>
          <m:sub>
            <m:r>
              <m:rPr>
                <m:scr m:val="script"/>
              </m:rPr>
              <w:rPr>
                <w:rFonts w:ascii="Cambria Math" w:hAnsi="Cambria Math"/>
                <w:lang w:val="x-none" w:eastAsia="x-none"/>
              </w:rPr>
              <m:t>z</m:t>
            </m:r>
          </m:sub>
        </m:sSub>
        <m:r>
          <w:rPr>
            <w:rFonts w:ascii="Cambria Math" w:hAnsi="Cambria Math"/>
            <w:lang w:val="x-none" w:eastAsia="x-none"/>
          </w:rPr>
          <m:t>=</m:t>
        </m:r>
        <m:func>
          <m:funcPr>
            <m:ctrlPr>
              <w:rPr>
                <w:rFonts w:ascii="Cambria Math" w:hAnsi="Cambria Math"/>
                <w:i/>
                <w:lang w:val="x-none" w:eastAsia="x-none"/>
              </w:rPr>
            </m:ctrlPr>
          </m:funcPr>
          <m:fName>
            <m:sSup>
              <m:sSupPr>
                <m:ctrlPr>
                  <w:rPr>
                    <w:rFonts w:ascii="Cambria Math" w:hAnsi="Cambria Math"/>
                    <w:i/>
                    <w:lang w:val="x-none" w:eastAsia="x-none"/>
                  </w:rPr>
                </m:ctrlPr>
              </m:sSupPr>
              <m:e>
                <m:r>
                  <m:rPr>
                    <m:sty m:val="p"/>
                  </m:rPr>
                  <w:rPr>
                    <w:rFonts w:ascii="Cambria Math" w:hAnsi="Cambria Math"/>
                    <w:lang w:val="x-none" w:eastAsia="x-none"/>
                  </w:rPr>
                  <m:t>sin</m:t>
                </m:r>
              </m:e>
              <m:sup>
                <m:r>
                  <w:rPr>
                    <w:rFonts w:ascii="Cambria Math" w:hAnsi="Cambria Math"/>
                    <w:lang w:val="x-none" w:eastAsia="x-none"/>
                  </w:rPr>
                  <m:t>-1</m:t>
                </m:r>
              </m:sup>
            </m:sSup>
          </m:fName>
          <m:e>
            <m:d>
              <m:dPr>
                <m:begChr m:val="["/>
                <m:endChr m:val="]"/>
                <m:ctrlPr>
                  <w:rPr>
                    <w:rFonts w:ascii="Cambria Math" w:hAnsi="Cambria Math"/>
                    <w:i/>
                    <w:lang w:val="x-none" w:eastAsia="x-none"/>
                  </w:rPr>
                </m:ctrlPr>
              </m:dPr>
              <m:e>
                <m:f>
                  <m:fPr>
                    <m:ctrlPr>
                      <w:rPr>
                        <w:rFonts w:ascii="Cambria Math" w:hAnsi="Cambria Math"/>
                        <w:i/>
                        <w:lang w:val="x-none" w:eastAsia="x-none"/>
                      </w:rPr>
                    </m:ctrlPr>
                  </m:fPr>
                  <m:num>
                    <m:func>
                      <m:funcPr>
                        <m:ctrlPr>
                          <w:rPr>
                            <w:rFonts w:ascii="Cambria Math" w:hAnsi="Cambria Math"/>
                            <w:i/>
                            <w:lang w:val="x-none" w:eastAsia="x-none"/>
                          </w:rPr>
                        </m:ctrlPr>
                      </m:funcPr>
                      <m:fName>
                        <m:r>
                          <m:rPr>
                            <m:sty m:val="p"/>
                          </m:rPr>
                          <w:rPr>
                            <w:rFonts w:ascii="Cambria Math" w:hAnsi="Cambria Math"/>
                            <w:lang w:val="x-none" w:eastAsia="x-none"/>
                          </w:rPr>
                          <m:t>sin</m:t>
                        </m:r>
                      </m:fName>
                      <m:e>
                        <m:sSub>
                          <m:sSubPr>
                            <m:ctrlPr>
                              <w:rPr>
                                <w:rFonts w:ascii="Cambria Math" w:hAnsi="Cambria Math"/>
                                <w:i/>
                                <w:lang w:val="x-none" w:eastAsia="x-none"/>
                              </w:rPr>
                            </m:ctrlPr>
                          </m:sSubPr>
                          <m:e>
                            <m:r>
                              <w:rPr>
                                <w:rFonts w:ascii="Cambria Math" w:hAnsi="Cambria Math"/>
                                <w:lang w:val="x-none" w:eastAsia="x-none"/>
                              </w:rPr>
                              <m:t>α</m:t>
                            </m:r>
                          </m:e>
                          <m:sub>
                            <m:r>
                              <w:rPr>
                                <w:rFonts w:ascii="Cambria Math" w:hAnsi="Cambria Math"/>
                                <w:lang w:val="x-none" w:eastAsia="x-none"/>
                              </w:rPr>
                              <m:t>0</m:t>
                            </m:r>
                          </m:sub>
                        </m:sSub>
                      </m:e>
                    </m:func>
                  </m:num>
                  <m:den>
                    <m:r>
                      <m:rPr>
                        <m:scr m:val="script"/>
                      </m:rPr>
                      <w:rPr>
                        <w:rFonts w:ascii="Cambria Math" w:hAnsi="Cambria Math"/>
                        <w:lang w:val="x-none" w:eastAsia="x-none"/>
                      </w:rPr>
                      <m:t>z</m:t>
                    </m:r>
                    <m:d>
                      <m:dPr>
                        <m:ctrlPr>
                          <w:rPr>
                            <w:rFonts w:ascii="Cambria Math" w:hAnsi="Cambria Math"/>
                            <w:i/>
                            <w:lang w:val="x-none" w:eastAsia="x-none"/>
                          </w:rPr>
                        </m:ctrlPr>
                      </m:dPr>
                      <m:e>
                        <m:sSub>
                          <m:sSubPr>
                            <m:ctrlPr>
                              <w:rPr>
                                <w:rFonts w:ascii="Cambria Math" w:hAnsi="Cambria Math"/>
                                <w:i/>
                                <w:lang w:val="x-none" w:eastAsia="x-none"/>
                              </w:rPr>
                            </m:ctrlPr>
                          </m:sSubPr>
                          <m:e>
                            <m:sSub>
                              <m:sSubPr>
                                <m:ctrlPr>
                                  <w:rPr>
                                    <w:rFonts w:ascii="Cambria Math" w:hAnsi="Cambria Math"/>
                                    <w:i/>
                                    <w:lang w:val="x-none" w:eastAsia="x-none"/>
                                  </w:rPr>
                                </m:ctrlPr>
                              </m:sSubPr>
                              <m:e>
                                <m:r>
                                  <w:rPr>
                                    <w:rFonts w:ascii="Cambria Math" w:hAnsi="Cambria Math"/>
                                    <w:lang w:val="x-none" w:eastAsia="x-none"/>
                                  </w:rPr>
                                  <m:t>R</m:t>
                                </m:r>
                              </m:e>
                              <m:sub>
                                <m:r>
                                  <w:rPr>
                                    <w:rFonts w:ascii="Cambria Math" w:hAnsi="Cambria Math"/>
                                    <w:lang w:val="x-none" w:eastAsia="x-none"/>
                                  </w:rPr>
                                  <m:t>L</m:t>
                                </m:r>
                              </m:sub>
                            </m:sSub>
                            <m:r>
                              <w:rPr>
                                <w:rFonts w:ascii="Cambria Math" w:hAnsi="Cambria Math"/>
                                <w:lang w:val="x-none" w:eastAsia="x-none"/>
                              </w:rPr>
                              <m:t>/R</m:t>
                            </m:r>
                          </m:e>
                          <m:sub>
                            <m:r>
                              <w:rPr>
                                <w:rFonts w:ascii="Cambria Math" w:hAnsi="Cambria Math"/>
                                <w:lang w:val="x-none" w:eastAsia="x-none"/>
                              </w:rPr>
                              <m:t>0</m:t>
                            </m:r>
                          </m:sub>
                        </m:sSub>
                        <m:r>
                          <w:rPr>
                            <w:rFonts w:ascii="Cambria Math" w:hAnsi="Cambria Math"/>
                            <w:lang w:val="x-none" w:eastAsia="x-none"/>
                          </w:rPr>
                          <m:t>-1</m:t>
                        </m:r>
                      </m:e>
                    </m:d>
                    <m:r>
                      <w:rPr>
                        <w:rFonts w:ascii="Cambria Math" w:hAnsi="Cambria Math"/>
                        <w:lang w:val="x-none" w:eastAsia="x-none"/>
                      </w:rPr>
                      <m:t>/L+1</m:t>
                    </m:r>
                  </m:den>
                </m:f>
              </m:e>
            </m:d>
          </m:e>
        </m:func>
      </m:oMath>
      <w:r w:rsidR="00C64577">
        <w:rPr>
          <w:lang w:val="x-none" w:eastAsia="x-none"/>
        </w:rPr>
        <w:tab/>
      </w:r>
      <w:r w:rsidR="00C64577">
        <w:rPr>
          <w:lang w:val="x-none" w:eastAsia="x-none"/>
        </w:rPr>
        <w:tab/>
      </w:r>
      <w:r w:rsidR="00C64577">
        <w:rPr>
          <w:lang w:val="x-none" w:eastAsia="x-none"/>
        </w:rPr>
        <w:tab/>
      </w:r>
      <w:r w:rsidR="00400D8E">
        <w:rPr>
          <w:lang w:val="x-none" w:eastAsia="x-none"/>
        </w:rPr>
        <w:t xml:space="preserve">          (6)</w:t>
      </w:r>
    </w:p>
    <w:p w14:paraId="2016E2EF" w14:textId="77777777" w:rsidR="00705EFC" w:rsidRPr="0032216C" w:rsidRDefault="00705EFC" w:rsidP="0032216C">
      <w:pPr>
        <w:jc w:val="left"/>
        <w:rPr>
          <w:lang w:val="x-none" w:eastAsia="x-none"/>
        </w:rPr>
      </w:pPr>
    </w:p>
    <w:p w14:paraId="5BB9762E" w14:textId="21029649" w:rsidR="00D76AF0" w:rsidRDefault="0025798C" w:rsidP="00DA4FD6">
      <w:pPr>
        <w:rPr>
          <w:lang w:val="x-none" w:eastAsia="x-none"/>
        </w:rPr>
      </w:pPr>
      <w:r>
        <w:rPr>
          <w:lang w:val="x-none" w:eastAsia="x-none"/>
        </w:rPr>
        <w:t xml:space="preserve">Here, </w:t>
      </w:r>
      <m:oMath>
        <m:r>
          <m:rPr>
            <m:scr m:val="script"/>
          </m:rPr>
          <w:rPr>
            <w:rFonts w:ascii="Cambria Math" w:hAnsi="Cambria Math"/>
            <w:lang w:val="x-none" w:eastAsia="x-none"/>
          </w:rPr>
          <m:t>z</m:t>
        </m:r>
      </m:oMath>
      <w:r w:rsidR="00E245F6">
        <w:rPr>
          <w:lang w:val="x-none" w:eastAsia="x-none"/>
        </w:rPr>
        <w:t xml:space="preserve"> </w:t>
      </w:r>
      <w:r>
        <w:rPr>
          <w:lang w:val="x-none" w:eastAsia="x-none"/>
        </w:rPr>
        <w:t xml:space="preserve">represents </w:t>
      </w:r>
      <w:r w:rsidR="00264FB4">
        <w:rPr>
          <w:lang w:val="x-none" w:eastAsia="x-none"/>
        </w:rPr>
        <w:t>the height and spans the range from</w:t>
      </w:r>
      <m:oMath>
        <m:sSub>
          <m:sSubPr>
            <m:ctrlPr>
              <w:rPr>
                <w:rFonts w:ascii="Cambria Math" w:hAnsi="Cambria Math"/>
                <w:i/>
                <w:lang w:val="x-none" w:eastAsia="x-none"/>
              </w:rPr>
            </m:ctrlPr>
          </m:sSubPr>
          <m:e>
            <m:r>
              <w:rPr>
                <w:rFonts w:ascii="Cambria Math" w:hAnsi="Cambria Math"/>
                <w:lang w:val="x-none" w:eastAsia="x-none"/>
              </w:rPr>
              <m:t xml:space="preserve"> R</m:t>
            </m:r>
          </m:e>
          <m:sub>
            <m:r>
              <w:rPr>
                <w:rFonts w:ascii="Cambria Math" w:hAnsi="Cambria Math"/>
                <w:lang w:val="x-none" w:eastAsia="x-none"/>
              </w:rPr>
              <m:t>L</m:t>
            </m:r>
          </m:sub>
        </m:sSub>
      </m:oMath>
      <w:r w:rsidR="00264FB4">
        <w:rPr>
          <w:lang w:val="x-none" w:eastAsia="x-none"/>
        </w:rPr>
        <w:t xml:space="preserve"> to </w:t>
      </w:r>
      <m:oMath>
        <m:sSub>
          <m:sSubPr>
            <m:ctrlPr>
              <w:rPr>
                <w:rFonts w:ascii="Cambria Math" w:hAnsi="Cambria Math"/>
                <w:i/>
                <w:lang w:val="x-none" w:eastAsia="x-none"/>
              </w:rPr>
            </m:ctrlPr>
          </m:sSubPr>
          <m:e>
            <m:r>
              <w:rPr>
                <w:rFonts w:ascii="Cambria Math" w:hAnsi="Cambria Math"/>
                <w:lang w:val="x-none" w:eastAsia="x-none"/>
              </w:rPr>
              <m:t>R</m:t>
            </m:r>
          </m:e>
          <m:sub>
            <m:r>
              <w:rPr>
                <w:rFonts w:ascii="Cambria Math" w:hAnsi="Cambria Math"/>
                <w:lang w:val="x-none" w:eastAsia="x-none"/>
              </w:rPr>
              <m:t>0</m:t>
            </m:r>
          </m:sub>
        </m:sSub>
      </m:oMath>
      <w:r w:rsidR="00264FB4">
        <w:rPr>
          <w:lang w:val="x-none" w:eastAsia="x-none"/>
        </w:rPr>
        <w:t xml:space="preserve">, </w:t>
      </w:r>
      <w:r w:rsidR="00896A06">
        <w:rPr>
          <w:lang w:val="x-none" w:eastAsia="x-none"/>
        </w:rPr>
        <w:t>while</w:t>
      </w:r>
      <m:oMath>
        <m:r>
          <w:rPr>
            <w:rFonts w:ascii="Cambria Math" w:hAnsi="Cambria Math"/>
            <w:lang w:val="x-none" w:eastAsia="x-none"/>
          </w:rPr>
          <m:t xml:space="preserve"> </m:t>
        </m:r>
        <m:sSub>
          <m:sSubPr>
            <m:ctrlPr>
              <w:rPr>
                <w:rFonts w:ascii="Cambria Math" w:hAnsi="Cambria Math"/>
                <w:i/>
                <w:lang w:val="x-none" w:eastAsia="x-none"/>
              </w:rPr>
            </m:ctrlPr>
          </m:sSubPr>
          <m:e>
            <m:r>
              <w:rPr>
                <w:rFonts w:ascii="Cambria Math" w:hAnsi="Cambria Math"/>
                <w:lang w:val="x-none" w:eastAsia="x-none"/>
              </w:rPr>
              <m:t>α</m:t>
            </m:r>
          </m:e>
          <m:sub>
            <m:r>
              <w:rPr>
                <w:rFonts w:ascii="Cambria Math" w:hAnsi="Cambria Math"/>
                <w:lang w:val="x-none" w:eastAsia="x-none"/>
              </w:rPr>
              <m:t>0</m:t>
            </m:r>
          </m:sub>
        </m:sSub>
      </m:oMath>
      <w:r w:rsidR="0058085B">
        <w:rPr>
          <w:lang w:val="x-none" w:eastAsia="x-none"/>
        </w:rPr>
        <w:t xml:space="preserve"> </w:t>
      </w:r>
      <w:r w:rsidR="0058085B" w:rsidRPr="0058085B">
        <w:rPr>
          <w:lang w:eastAsia="x-none"/>
        </w:rPr>
        <w:t>denotes the initial angle of the guided ray at the fiber's input end. However, for a parabolic profile, the relationship varies.</w:t>
      </w:r>
      <w:r w:rsidR="009D58EC">
        <w:rPr>
          <w:lang w:eastAsia="x-none"/>
        </w:rPr>
        <w:t xml:space="preserve"> </w:t>
      </w:r>
      <w:r w:rsidR="002F1207">
        <w:rPr>
          <w:lang w:eastAsia="x-none"/>
        </w:rPr>
        <w:t xml:space="preserve">The </w:t>
      </w:r>
      <m:oMath>
        <m:sSub>
          <m:sSubPr>
            <m:ctrlPr>
              <w:rPr>
                <w:rFonts w:ascii="Cambria Math" w:hAnsi="Cambria Math"/>
                <w:i/>
                <w:lang w:val="x-none" w:eastAsia="x-none"/>
              </w:rPr>
            </m:ctrlPr>
          </m:sSubPr>
          <m:e>
            <m:r>
              <w:rPr>
                <w:rFonts w:ascii="Cambria Math" w:hAnsi="Cambria Math"/>
                <w:lang w:val="x-none" w:eastAsia="x-none"/>
              </w:rPr>
              <m:t>α</m:t>
            </m:r>
          </m:e>
          <m:sub>
            <m:r>
              <m:rPr>
                <m:scr m:val="script"/>
              </m:rPr>
              <w:rPr>
                <w:rFonts w:ascii="Cambria Math" w:hAnsi="Cambria Math"/>
                <w:lang w:val="x-none" w:eastAsia="x-none"/>
              </w:rPr>
              <m:t>z</m:t>
            </m:r>
          </m:sub>
        </m:sSub>
      </m:oMath>
      <w:r w:rsidR="00896A06">
        <w:rPr>
          <w:lang w:val="x-none" w:eastAsia="x-none"/>
        </w:rPr>
        <w:t xml:space="preserve"> </w:t>
      </w:r>
      <w:r w:rsidR="00DA4FD6" w:rsidRPr="00DA4FD6">
        <w:rPr>
          <w:lang w:eastAsia="x-none"/>
        </w:rPr>
        <w:t>is characterized as follows:</w:t>
      </w:r>
    </w:p>
    <w:p w14:paraId="013DAF0F" w14:textId="77777777" w:rsidR="00E462A7" w:rsidRDefault="00E462A7" w:rsidP="00C44F1E">
      <w:pPr>
        <w:rPr>
          <w:lang w:val="x-none" w:eastAsia="x-none"/>
        </w:rPr>
      </w:pPr>
    </w:p>
    <w:p w14:paraId="441F65A1" w14:textId="375E4D87" w:rsidR="00E462A7" w:rsidRPr="00400D8E" w:rsidRDefault="00000000" w:rsidP="00E462A7">
      <w:pPr>
        <w:jc w:val="left"/>
        <w:rPr>
          <w:lang w:val="x-none" w:eastAsia="x-none"/>
        </w:rPr>
      </w:pPr>
      <m:oMath>
        <m:sSub>
          <m:sSubPr>
            <m:ctrlPr>
              <w:rPr>
                <w:rFonts w:ascii="Cambria Math" w:hAnsi="Cambria Math"/>
                <w:i/>
                <w:lang w:val="x-none" w:eastAsia="x-none"/>
              </w:rPr>
            </m:ctrlPr>
          </m:sSubPr>
          <m:e>
            <m:r>
              <w:rPr>
                <w:rFonts w:ascii="Cambria Math" w:hAnsi="Cambria Math"/>
                <w:lang w:val="x-none" w:eastAsia="x-none"/>
              </w:rPr>
              <m:t>α</m:t>
            </m:r>
          </m:e>
          <m:sub>
            <m:r>
              <m:rPr>
                <m:scr m:val="script"/>
              </m:rPr>
              <w:rPr>
                <w:rFonts w:ascii="Cambria Math" w:hAnsi="Cambria Math"/>
                <w:lang w:val="x-none" w:eastAsia="x-none"/>
              </w:rPr>
              <m:t>z</m:t>
            </m:r>
          </m:sub>
        </m:sSub>
        <m:r>
          <w:rPr>
            <w:rFonts w:ascii="Cambria Math" w:hAnsi="Cambria Math"/>
            <w:lang w:val="x-none" w:eastAsia="x-none"/>
          </w:rPr>
          <m:t>=</m:t>
        </m:r>
        <m:func>
          <m:funcPr>
            <m:ctrlPr>
              <w:rPr>
                <w:rFonts w:ascii="Cambria Math" w:hAnsi="Cambria Math"/>
                <w:i/>
                <w:lang w:val="x-none" w:eastAsia="x-none"/>
              </w:rPr>
            </m:ctrlPr>
          </m:funcPr>
          <m:fName>
            <m:sSup>
              <m:sSupPr>
                <m:ctrlPr>
                  <w:rPr>
                    <w:rFonts w:ascii="Cambria Math" w:hAnsi="Cambria Math"/>
                    <w:i/>
                    <w:lang w:val="x-none" w:eastAsia="x-none"/>
                  </w:rPr>
                </m:ctrlPr>
              </m:sSupPr>
              <m:e>
                <m:r>
                  <m:rPr>
                    <m:sty m:val="p"/>
                  </m:rPr>
                  <w:rPr>
                    <w:rFonts w:ascii="Cambria Math" w:hAnsi="Cambria Math"/>
                    <w:lang w:val="x-none" w:eastAsia="x-none"/>
                  </w:rPr>
                  <m:t>sin</m:t>
                </m:r>
              </m:e>
              <m:sup>
                <m:r>
                  <w:rPr>
                    <w:rFonts w:ascii="Cambria Math" w:hAnsi="Cambria Math"/>
                    <w:lang w:val="x-none" w:eastAsia="x-none"/>
                  </w:rPr>
                  <m:t>-1</m:t>
                </m:r>
              </m:sup>
            </m:sSup>
          </m:fName>
          <m:e>
            <m:d>
              <m:dPr>
                <m:begChr m:val="["/>
                <m:endChr m:val="]"/>
                <m:ctrlPr>
                  <w:rPr>
                    <w:rFonts w:ascii="Cambria Math" w:hAnsi="Cambria Math"/>
                    <w:i/>
                    <w:lang w:val="x-none" w:eastAsia="x-none"/>
                  </w:rPr>
                </m:ctrlPr>
              </m:dPr>
              <m:e>
                <m:f>
                  <m:fPr>
                    <m:ctrlPr>
                      <w:rPr>
                        <w:rFonts w:ascii="Cambria Math" w:hAnsi="Cambria Math"/>
                        <w:i/>
                        <w:lang w:val="x-none" w:eastAsia="x-none"/>
                      </w:rPr>
                    </m:ctrlPr>
                  </m:fPr>
                  <m:num>
                    <m:func>
                      <m:funcPr>
                        <m:ctrlPr>
                          <w:rPr>
                            <w:rFonts w:ascii="Cambria Math" w:hAnsi="Cambria Math"/>
                            <w:i/>
                            <w:lang w:val="x-none" w:eastAsia="x-none"/>
                          </w:rPr>
                        </m:ctrlPr>
                      </m:funcPr>
                      <m:fName>
                        <m:r>
                          <m:rPr>
                            <m:sty m:val="p"/>
                          </m:rPr>
                          <w:rPr>
                            <w:rFonts w:ascii="Cambria Math" w:hAnsi="Cambria Math"/>
                            <w:lang w:val="x-none" w:eastAsia="x-none"/>
                          </w:rPr>
                          <m:t>sin</m:t>
                        </m:r>
                      </m:fName>
                      <m:e>
                        <m:sSub>
                          <m:sSubPr>
                            <m:ctrlPr>
                              <w:rPr>
                                <w:rFonts w:ascii="Cambria Math" w:hAnsi="Cambria Math"/>
                                <w:i/>
                                <w:lang w:val="x-none" w:eastAsia="x-none"/>
                              </w:rPr>
                            </m:ctrlPr>
                          </m:sSubPr>
                          <m:e>
                            <m:r>
                              <w:rPr>
                                <w:rFonts w:ascii="Cambria Math" w:hAnsi="Cambria Math"/>
                                <w:lang w:val="x-none" w:eastAsia="x-none"/>
                              </w:rPr>
                              <m:t>α</m:t>
                            </m:r>
                          </m:e>
                          <m:sub>
                            <m:r>
                              <w:rPr>
                                <w:rFonts w:ascii="Cambria Math" w:hAnsi="Cambria Math"/>
                                <w:lang w:val="x-none" w:eastAsia="x-none"/>
                              </w:rPr>
                              <m:t>0</m:t>
                            </m:r>
                          </m:sub>
                        </m:sSub>
                      </m:e>
                    </m:func>
                  </m:num>
                  <m:den>
                    <m:r>
                      <m:rPr>
                        <m:scr m:val="script"/>
                      </m:rPr>
                      <w:rPr>
                        <w:rFonts w:ascii="Cambria Math" w:hAnsi="Cambria Math"/>
                        <w:lang w:val="x-none" w:eastAsia="x-none"/>
                      </w:rPr>
                      <m:t>z</m:t>
                    </m:r>
                    <m:d>
                      <m:dPr>
                        <m:ctrlPr>
                          <w:rPr>
                            <w:rFonts w:ascii="Cambria Math" w:hAnsi="Cambria Math"/>
                            <w:i/>
                            <w:lang w:val="x-none" w:eastAsia="x-none"/>
                          </w:rPr>
                        </m:ctrlPr>
                      </m:dPr>
                      <m:e>
                        <m:sSub>
                          <m:sSubPr>
                            <m:ctrlPr>
                              <w:rPr>
                                <w:rFonts w:ascii="Cambria Math" w:hAnsi="Cambria Math"/>
                                <w:i/>
                                <w:lang w:val="x-none" w:eastAsia="x-none"/>
                              </w:rPr>
                            </m:ctrlPr>
                          </m:sSubPr>
                          <m:e>
                            <m:sSub>
                              <m:sSubPr>
                                <m:ctrlPr>
                                  <w:rPr>
                                    <w:rFonts w:ascii="Cambria Math" w:hAnsi="Cambria Math"/>
                                    <w:i/>
                                    <w:lang w:val="x-none" w:eastAsia="x-none"/>
                                  </w:rPr>
                                </m:ctrlPr>
                              </m:sSubPr>
                              <m:e>
                                <m:r>
                                  <w:rPr>
                                    <w:rFonts w:ascii="Cambria Math" w:hAnsi="Cambria Math"/>
                                    <w:lang w:val="x-none" w:eastAsia="x-none"/>
                                  </w:rPr>
                                  <m:t>R</m:t>
                                </m:r>
                              </m:e>
                              <m:sub>
                                <m:r>
                                  <w:rPr>
                                    <w:rFonts w:ascii="Cambria Math" w:hAnsi="Cambria Math"/>
                                    <w:lang w:val="x-none" w:eastAsia="x-none"/>
                                  </w:rPr>
                                  <m:t>L</m:t>
                                </m:r>
                              </m:sub>
                            </m:sSub>
                            <m:r>
                              <w:rPr>
                                <w:rFonts w:ascii="Cambria Math" w:hAnsi="Cambria Math"/>
                                <w:lang w:val="x-none" w:eastAsia="x-none"/>
                              </w:rPr>
                              <m:t>/R</m:t>
                            </m:r>
                          </m:e>
                          <m:sub>
                            <m:r>
                              <w:rPr>
                                <w:rFonts w:ascii="Cambria Math" w:hAnsi="Cambria Math"/>
                                <w:lang w:val="x-none" w:eastAsia="x-none"/>
                              </w:rPr>
                              <m:t>0</m:t>
                            </m:r>
                          </m:sub>
                        </m:sSub>
                        <m:r>
                          <w:rPr>
                            <w:rFonts w:ascii="Cambria Math" w:hAnsi="Cambria Math"/>
                            <w:lang w:val="x-none" w:eastAsia="x-none"/>
                          </w:rPr>
                          <m:t>-1</m:t>
                        </m:r>
                      </m:e>
                    </m:d>
                    <m:r>
                      <w:rPr>
                        <w:rFonts w:ascii="Cambria Math" w:hAnsi="Cambria Math"/>
                        <w:lang w:val="x-none" w:eastAsia="x-none"/>
                      </w:rPr>
                      <m:t>/L+1</m:t>
                    </m:r>
                  </m:den>
                </m:f>
              </m:e>
            </m:d>
          </m:e>
        </m:func>
      </m:oMath>
      <w:r w:rsidR="00400D8E">
        <w:rPr>
          <w:lang w:val="x-none" w:eastAsia="x-none"/>
        </w:rPr>
        <w:tab/>
      </w:r>
      <w:r w:rsidR="00400D8E">
        <w:rPr>
          <w:lang w:val="x-none" w:eastAsia="x-none"/>
        </w:rPr>
        <w:tab/>
      </w:r>
      <w:r w:rsidR="00400D8E">
        <w:rPr>
          <w:lang w:val="x-none" w:eastAsia="x-none"/>
        </w:rPr>
        <w:tab/>
      </w:r>
      <w:r w:rsidR="006A3B0F">
        <w:rPr>
          <w:lang w:val="x-none" w:eastAsia="x-none"/>
        </w:rPr>
        <w:t xml:space="preserve">          </w:t>
      </w:r>
      <w:r w:rsidR="00400D8E">
        <w:rPr>
          <w:lang w:val="x-none" w:eastAsia="x-none"/>
        </w:rPr>
        <w:t>(7)</w:t>
      </w:r>
    </w:p>
    <w:p w14:paraId="3B626FD3" w14:textId="77777777" w:rsidR="00E462A7" w:rsidRDefault="00E462A7" w:rsidP="00C44F1E">
      <w:pPr>
        <w:rPr>
          <w:lang w:val="x-none" w:eastAsia="x-none"/>
        </w:rPr>
      </w:pPr>
    </w:p>
    <w:p w14:paraId="7092CAC1" w14:textId="6A885932" w:rsidR="006C52BF" w:rsidRDefault="000F5430" w:rsidP="00C44F1E">
      <w:pPr>
        <w:rPr>
          <w:lang w:val="x-none" w:eastAsia="x-none"/>
        </w:rPr>
      </w:pPr>
      <w:r w:rsidRPr="000F5430">
        <w:rPr>
          <w:lang w:val="x-none" w:eastAsia="x-none"/>
        </w:rPr>
        <w:t>For an exponential tapered fiber, the relationship is described as follows:</w:t>
      </w:r>
    </w:p>
    <w:p w14:paraId="4DEF6ACB" w14:textId="77777777" w:rsidR="00A6465D" w:rsidRDefault="00A6465D" w:rsidP="00C44F1E">
      <w:pPr>
        <w:rPr>
          <w:lang w:val="x-none" w:eastAsia="x-none"/>
        </w:rPr>
      </w:pPr>
    </w:p>
    <w:p w14:paraId="045980ED" w14:textId="2254730D" w:rsidR="00A6465D" w:rsidRPr="006A3B0F" w:rsidRDefault="00000000" w:rsidP="00A6465D">
      <w:pPr>
        <w:jc w:val="left"/>
        <w:rPr>
          <w:sz w:val="16"/>
          <w:szCs w:val="16"/>
          <w:lang w:val="x-none" w:eastAsia="x-none"/>
        </w:rPr>
      </w:pPr>
      <m:oMath>
        <m:sSub>
          <m:sSubPr>
            <m:ctrlPr>
              <w:rPr>
                <w:rFonts w:ascii="Cambria Math" w:hAnsi="Cambria Math"/>
                <w:i/>
                <w:lang w:val="x-none" w:eastAsia="x-none"/>
              </w:rPr>
            </m:ctrlPr>
          </m:sSubPr>
          <m:e>
            <m:r>
              <w:rPr>
                <w:rFonts w:ascii="Cambria Math" w:hAnsi="Cambria Math"/>
                <w:lang w:val="x-none" w:eastAsia="x-none"/>
              </w:rPr>
              <m:t>α</m:t>
            </m:r>
          </m:e>
          <m:sub>
            <m:r>
              <m:rPr>
                <m:scr m:val="script"/>
              </m:rPr>
              <w:rPr>
                <w:rFonts w:ascii="Cambria Math" w:hAnsi="Cambria Math"/>
                <w:lang w:val="x-none" w:eastAsia="x-none"/>
              </w:rPr>
              <m:t>z</m:t>
            </m:r>
          </m:sub>
        </m:sSub>
        <m:r>
          <w:rPr>
            <w:rFonts w:ascii="Cambria Math" w:hAnsi="Cambria Math"/>
            <w:lang w:val="x-none" w:eastAsia="x-none"/>
          </w:rPr>
          <m:t>=</m:t>
        </m:r>
        <m:func>
          <m:funcPr>
            <m:ctrlPr>
              <w:rPr>
                <w:rFonts w:ascii="Cambria Math" w:hAnsi="Cambria Math"/>
                <w:i/>
                <w:lang w:val="x-none" w:eastAsia="x-none"/>
              </w:rPr>
            </m:ctrlPr>
          </m:funcPr>
          <m:fName>
            <m:sSup>
              <m:sSupPr>
                <m:ctrlPr>
                  <w:rPr>
                    <w:rFonts w:ascii="Cambria Math" w:hAnsi="Cambria Math"/>
                    <w:i/>
                    <w:lang w:val="x-none" w:eastAsia="x-none"/>
                  </w:rPr>
                </m:ctrlPr>
              </m:sSupPr>
              <m:e>
                <m:r>
                  <m:rPr>
                    <m:sty m:val="p"/>
                  </m:rPr>
                  <w:rPr>
                    <w:rFonts w:ascii="Cambria Math" w:hAnsi="Cambria Math"/>
                    <w:lang w:val="x-none" w:eastAsia="x-none"/>
                  </w:rPr>
                  <m:t>sin</m:t>
                </m:r>
              </m:e>
              <m:sup>
                <m:r>
                  <w:rPr>
                    <w:rFonts w:ascii="Cambria Math" w:hAnsi="Cambria Math"/>
                    <w:lang w:val="x-none" w:eastAsia="x-none"/>
                  </w:rPr>
                  <m:t>-1</m:t>
                </m:r>
              </m:sup>
            </m:sSup>
          </m:fName>
          <m:e>
            <m:d>
              <m:dPr>
                <m:begChr m:val="["/>
                <m:endChr m:val="]"/>
                <m:ctrlPr>
                  <w:rPr>
                    <w:rFonts w:ascii="Cambria Math" w:hAnsi="Cambria Math"/>
                    <w:i/>
                    <w:lang w:val="x-none" w:eastAsia="x-none"/>
                  </w:rPr>
                </m:ctrlPr>
              </m:dPr>
              <m:e>
                <m:f>
                  <m:fPr>
                    <m:ctrlPr>
                      <w:rPr>
                        <w:rFonts w:ascii="Cambria Math" w:hAnsi="Cambria Math"/>
                        <w:i/>
                        <w:lang w:val="x-none" w:eastAsia="x-none"/>
                      </w:rPr>
                    </m:ctrlPr>
                  </m:fPr>
                  <m:num>
                    <m:func>
                      <m:funcPr>
                        <m:ctrlPr>
                          <w:rPr>
                            <w:rFonts w:ascii="Cambria Math" w:hAnsi="Cambria Math"/>
                            <w:i/>
                            <w:lang w:val="x-none" w:eastAsia="x-none"/>
                          </w:rPr>
                        </m:ctrlPr>
                      </m:funcPr>
                      <m:fName>
                        <m:r>
                          <m:rPr>
                            <m:sty m:val="p"/>
                          </m:rPr>
                          <w:rPr>
                            <w:rFonts w:ascii="Cambria Math" w:hAnsi="Cambria Math"/>
                            <w:lang w:val="x-none" w:eastAsia="x-none"/>
                          </w:rPr>
                          <m:t>sin</m:t>
                        </m:r>
                      </m:fName>
                      <m:e>
                        <m:sSub>
                          <m:sSubPr>
                            <m:ctrlPr>
                              <w:rPr>
                                <w:rFonts w:ascii="Cambria Math" w:hAnsi="Cambria Math"/>
                                <w:i/>
                                <w:lang w:val="x-none" w:eastAsia="x-none"/>
                              </w:rPr>
                            </m:ctrlPr>
                          </m:sSubPr>
                          <m:e>
                            <m:r>
                              <w:rPr>
                                <w:rFonts w:ascii="Cambria Math" w:hAnsi="Cambria Math"/>
                                <w:lang w:val="x-none" w:eastAsia="x-none"/>
                              </w:rPr>
                              <m:t>α</m:t>
                            </m:r>
                          </m:e>
                          <m:sub>
                            <m:r>
                              <w:rPr>
                                <w:rFonts w:ascii="Cambria Math" w:hAnsi="Cambria Math"/>
                                <w:lang w:val="x-none" w:eastAsia="x-none"/>
                              </w:rPr>
                              <m:t>0</m:t>
                            </m:r>
                          </m:sub>
                        </m:sSub>
                      </m:e>
                    </m:func>
                  </m:num>
                  <m:den>
                    <m:r>
                      <m:rPr>
                        <m:scr m:val="script"/>
                      </m:rPr>
                      <w:rPr>
                        <w:rFonts w:ascii="Cambria Math" w:hAnsi="Cambria Math"/>
                        <w:lang w:val="x-none" w:eastAsia="x-none"/>
                      </w:rPr>
                      <m:t>z</m:t>
                    </m:r>
                    <m:d>
                      <m:dPr>
                        <m:ctrlPr>
                          <w:rPr>
                            <w:rFonts w:ascii="Cambria Math" w:hAnsi="Cambria Math"/>
                            <w:i/>
                            <w:lang w:val="x-none" w:eastAsia="x-none"/>
                          </w:rPr>
                        </m:ctrlPr>
                      </m:dPr>
                      <m:e>
                        <m:r>
                          <w:rPr>
                            <w:rFonts w:ascii="Cambria Math" w:hAnsi="Cambria Math"/>
                            <w:lang w:val="x-none" w:eastAsia="x-none"/>
                          </w:rPr>
                          <m:t>1-</m:t>
                        </m:r>
                        <m:sSub>
                          <m:sSubPr>
                            <m:ctrlPr>
                              <w:rPr>
                                <w:rFonts w:ascii="Cambria Math" w:hAnsi="Cambria Math"/>
                                <w:i/>
                                <w:lang w:val="x-none" w:eastAsia="x-none"/>
                              </w:rPr>
                            </m:ctrlPr>
                          </m:sSubPr>
                          <m:e>
                            <m:sSub>
                              <m:sSubPr>
                                <m:ctrlPr>
                                  <w:rPr>
                                    <w:rFonts w:ascii="Cambria Math" w:hAnsi="Cambria Math"/>
                                    <w:i/>
                                    <w:lang w:val="x-none" w:eastAsia="x-none"/>
                                  </w:rPr>
                                </m:ctrlPr>
                              </m:sSubPr>
                              <m:e>
                                <m:r>
                                  <w:rPr>
                                    <w:rFonts w:ascii="Cambria Math" w:hAnsi="Cambria Math"/>
                                    <w:lang w:val="x-none" w:eastAsia="x-none"/>
                                  </w:rPr>
                                  <m:t>R</m:t>
                                </m:r>
                              </m:e>
                              <m:sub>
                                <m:r>
                                  <w:rPr>
                                    <w:rFonts w:ascii="Cambria Math" w:hAnsi="Cambria Math"/>
                                    <w:lang w:val="x-none" w:eastAsia="x-none"/>
                                  </w:rPr>
                                  <m:t>L</m:t>
                                </m:r>
                              </m:sub>
                            </m:sSub>
                            <m:r>
                              <w:rPr>
                                <w:rFonts w:ascii="Cambria Math" w:hAnsi="Cambria Math"/>
                                <w:lang w:val="x-none" w:eastAsia="x-none"/>
                              </w:rPr>
                              <m:t>/R</m:t>
                            </m:r>
                          </m:e>
                          <m:sub>
                            <m:r>
                              <w:rPr>
                                <w:rFonts w:ascii="Cambria Math" w:hAnsi="Cambria Math"/>
                                <w:lang w:val="x-none" w:eastAsia="x-none"/>
                              </w:rPr>
                              <m:t>0</m:t>
                            </m:r>
                          </m:sub>
                        </m:sSub>
                      </m:e>
                    </m:d>
                    <m:d>
                      <m:dPr>
                        <m:begChr m:val="["/>
                        <m:endChr m:val="]"/>
                        <m:ctrlPr>
                          <w:rPr>
                            <w:rFonts w:ascii="Cambria Math" w:hAnsi="Cambria Math"/>
                            <w:i/>
                            <w:lang w:val="x-none" w:eastAsia="x-none"/>
                          </w:rPr>
                        </m:ctrlPr>
                      </m:dPr>
                      <m:e>
                        <m:r>
                          <w:rPr>
                            <w:rFonts w:ascii="Cambria Math" w:hAnsi="Cambria Math"/>
                            <w:lang w:val="x-none" w:eastAsia="x-none"/>
                          </w:rPr>
                          <m:t>exp</m:t>
                        </m:r>
                        <m:d>
                          <m:dPr>
                            <m:ctrlPr>
                              <w:rPr>
                                <w:rFonts w:ascii="Cambria Math" w:hAnsi="Cambria Math"/>
                                <w:i/>
                                <w:lang w:val="x-none" w:eastAsia="x-none"/>
                              </w:rPr>
                            </m:ctrlPr>
                          </m:dPr>
                          <m:e>
                            <m:r>
                              <m:rPr>
                                <m:scr m:val="script"/>
                              </m:rPr>
                              <w:rPr>
                                <w:rFonts w:ascii="Cambria Math" w:hAnsi="Cambria Math"/>
                                <w:lang w:val="x-none" w:eastAsia="x-none"/>
                              </w:rPr>
                              <m:t>-z/</m:t>
                            </m:r>
                            <m:r>
                              <w:rPr>
                                <w:rFonts w:ascii="Cambria Math" w:hAnsi="Cambria Math"/>
                                <w:lang w:val="x-none" w:eastAsia="x-none"/>
                              </w:rPr>
                              <m:t>L</m:t>
                            </m:r>
                          </m:e>
                        </m:d>
                        <m:r>
                          <w:rPr>
                            <w:rFonts w:ascii="Cambria Math" w:hAnsi="Cambria Math"/>
                            <w:lang w:val="x-none" w:eastAsia="x-none"/>
                          </w:rPr>
                          <m:t>-</m:t>
                        </m:r>
                        <m:d>
                          <m:dPr>
                            <m:ctrlPr>
                              <w:rPr>
                                <w:rFonts w:ascii="Cambria Math" w:hAnsi="Cambria Math"/>
                                <w:i/>
                                <w:lang w:val="x-none" w:eastAsia="x-none"/>
                              </w:rPr>
                            </m:ctrlPr>
                          </m:dPr>
                          <m:e>
                            <m:f>
                              <m:fPr>
                                <m:ctrlPr>
                                  <w:rPr>
                                    <w:rFonts w:ascii="Cambria Math" w:hAnsi="Cambria Math"/>
                                    <w:i/>
                                    <w:lang w:val="x-none" w:eastAsia="x-none"/>
                                  </w:rPr>
                                </m:ctrlPr>
                              </m:fPr>
                              <m:num>
                                <m:r>
                                  <m:rPr>
                                    <m:scr m:val="script"/>
                                  </m:rPr>
                                  <w:rPr>
                                    <w:rFonts w:ascii="Cambria Math" w:hAnsi="Cambria Math"/>
                                    <w:lang w:val="x-none" w:eastAsia="x-none"/>
                                  </w:rPr>
                                  <m:t>z</m:t>
                                </m:r>
                              </m:num>
                              <m:den>
                                <m:r>
                                  <w:rPr>
                                    <w:rFonts w:ascii="Cambria Math" w:hAnsi="Cambria Math"/>
                                    <w:lang w:val="x-none" w:eastAsia="x-none"/>
                                  </w:rPr>
                                  <m:t>L</m:t>
                                </m:r>
                              </m:den>
                            </m:f>
                          </m:e>
                        </m:d>
                        <m:r>
                          <m:rPr>
                            <m:sty m:val="p"/>
                          </m:rPr>
                          <w:rPr>
                            <w:rFonts w:ascii="Cambria Math" w:hAnsi="Cambria Math"/>
                            <w:lang w:val="x-none" w:eastAsia="x-none"/>
                          </w:rPr>
                          <m:t>exp⁡</m:t>
                        </m:r>
                        <m:r>
                          <w:rPr>
                            <w:rFonts w:ascii="Cambria Math" w:hAnsi="Cambria Math"/>
                            <w:lang w:val="x-none" w:eastAsia="x-none"/>
                          </w:rPr>
                          <m:t>(-1)</m:t>
                        </m:r>
                      </m:e>
                    </m:d>
                    <m:r>
                      <w:rPr>
                        <w:rFonts w:ascii="Cambria Math" w:hAnsi="Cambria Math"/>
                        <w:lang w:val="x-none" w:eastAsia="x-none"/>
                      </w:rPr>
                      <m:t>+</m:t>
                    </m:r>
                    <m:sSub>
                      <m:sSubPr>
                        <m:ctrlPr>
                          <w:rPr>
                            <w:rFonts w:ascii="Cambria Math" w:hAnsi="Cambria Math"/>
                            <w:i/>
                            <w:lang w:val="x-none" w:eastAsia="x-none"/>
                          </w:rPr>
                        </m:ctrlPr>
                      </m:sSubPr>
                      <m:e>
                        <m:r>
                          <w:rPr>
                            <w:rFonts w:ascii="Cambria Math" w:hAnsi="Cambria Math"/>
                            <w:lang w:val="x-none" w:eastAsia="x-none"/>
                          </w:rPr>
                          <m:t>R</m:t>
                        </m:r>
                      </m:e>
                      <m:sub>
                        <m:r>
                          <w:rPr>
                            <w:rFonts w:ascii="Cambria Math" w:hAnsi="Cambria Math"/>
                            <w:lang w:val="x-none" w:eastAsia="x-none"/>
                          </w:rPr>
                          <m:t>L</m:t>
                        </m:r>
                      </m:sub>
                    </m:sSub>
                    <m:r>
                      <w:rPr>
                        <w:rFonts w:ascii="Cambria Math" w:hAnsi="Cambria Math"/>
                        <w:lang w:val="x-none" w:eastAsia="x-none"/>
                      </w:rPr>
                      <m:t>/</m:t>
                    </m:r>
                    <m:sSub>
                      <m:sSubPr>
                        <m:ctrlPr>
                          <w:rPr>
                            <w:rFonts w:ascii="Cambria Math" w:hAnsi="Cambria Math"/>
                            <w:i/>
                            <w:lang w:val="x-none" w:eastAsia="x-none"/>
                          </w:rPr>
                        </m:ctrlPr>
                      </m:sSubPr>
                      <m:e>
                        <m:r>
                          <w:rPr>
                            <w:rFonts w:ascii="Cambria Math" w:hAnsi="Cambria Math"/>
                            <w:lang w:val="x-none" w:eastAsia="x-none"/>
                          </w:rPr>
                          <m:t>R</m:t>
                        </m:r>
                      </m:e>
                      <m:sub>
                        <m:r>
                          <w:rPr>
                            <w:rFonts w:ascii="Cambria Math" w:hAnsi="Cambria Math"/>
                            <w:lang w:val="x-none" w:eastAsia="x-none"/>
                          </w:rPr>
                          <m:t>0</m:t>
                        </m:r>
                      </m:sub>
                    </m:sSub>
                  </m:den>
                </m:f>
              </m:e>
            </m:d>
          </m:e>
        </m:func>
      </m:oMath>
      <w:r w:rsidR="006A3B0F">
        <w:rPr>
          <w:sz w:val="16"/>
          <w:szCs w:val="16"/>
          <w:lang w:val="x-none" w:eastAsia="x-none"/>
        </w:rPr>
        <w:tab/>
        <w:t xml:space="preserve">             </w:t>
      </w:r>
      <w:r w:rsidR="006A3B0F" w:rsidRPr="006A3B0F">
        <w:rPr>
          <w:lang w:val="x-none" w:eastAsia="x-none"/>
        </w:rPr>
        <w:t>(8)</w:t>
      </w:r>
    </w:p>
    <w:p w14:paraId="55229C17" w14:textId="2D812183" w:rsidR="00A26C19" w:rsidRDefault="006C52BF" w:rsidP="00C44F1E">
      <w:pPr>
        <w:rPr>
          <w:lang w:val="x-none" w:eastAsia="x-none"/>
        </w:rPr>
      </w:pPr>
      <w:r>
        <w:rPr>
          <w:lang w:val="x-none" w:eastAsia="x-none"/>
        </w:rPr>
        <w:br/>
      </w:r>
    </w:p>
    <w:p w14:paraId="7E2BDD17" w14:textId="2782947C" w:rsidR="00BC620E" w:rsidRDefault="00CF2D0A" w:rsidP="001F27C6">
      <w:r>
        <w:t xml:space="preserve">The equations indicate that the angle </w:t>
      </w:r>
      <m:oMath>
        <m:sSub>
          <m:sSubPr>
            <m:ctrlPr>
              <w:rPr>
                <w:rFonts w:ascii="Cambria Math" w:hAnsi="Cambria Math"/>
                <w:i/>
                <w:lang w:val="x-none" w:eastAsia="x-none"/>
              </w:rPr>
            </m:ctrlPr>
          </m:sSubPr>
          <m:e>
            <m:r>
              <w:rPr>
                <w:rFonts w:ascii="Cambria Math" w:hAnsi="Cambria Math"/>
                <w:lang w:val="x-none" w:eastAsia="x-none"/>
              </w:rPr>
              <m:t>α</m:t>
            </m:r>
          </m:e>
          <m:sub>
            <m:r>
              <m:rPr>
                <m:scr m:val="script"/>
              </m:rPr>
              <w:rPr>
                <w:rFonts w:ascii="Cambria Math" w:hAnsi="Cambria Math"/>
                <w:lang w:val="x-none" w:eastAsia="x-none"/>
              </w:rPr>
              <m:t>z</m:t>
            </m:r>
          </m:sub>
        </m:sSub>
      </m:oMath>
      <w:r>
        <w:t xml:space="preserve"> in the taper geometry impacts the penetration depth of the evanescent waves, which subsequently influences the sensitivity of the sensor.</w:t>
      </w:r>
    </w:p>
    <w:p w14:paraId="76BE16E5" w14:textId="77777777" w:rsidR="001F27C6" w:rsidRDefault="001F27C6" w:rsidP="001F27C6">
      <w:pPr>
        <w:rPr>
          <w:lang w:eastAsia="x-none"/>
        </w:rPr>
      </w:pPr>
    </w:p>
    <w:p w14:paraId="7D339820" w14:textId="478DA32D" w:rsidR="00741E65" w:rsidRDefault="00741E65" w:rsidP="001F27C6">
      <w:pPr>
        <w:rPr>
          <w:lang w:eastAsia="x-none"/>
        </w:rPr>
      </w:pPr>
      <w:r>
        <w:rPr>
          <w:noProof/>
          <w:lang w:val="x-none" w:eastAsia="x-none"/>
        </w:rPr>
        <w:drawing>
          <wp:inline distT="0" distB="0" distL="0" distR="0" wp14:anchorId="1FB9CA2B" wp14:editId="358D9EC6">
            <wp:extent cx="3192571" cy="1063892"/>
            <wp:effectExtent l="0" t="0" r="8255" b="3175"/>
            <wp:docPr id="830999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99988" name="Picture 830999988"/>
                    <pic:cNvPicPr/>
                  </pic:nvPicPr>
                  <pic:blipFill rotWithShape="1">
                    <a:blip r:embed="rId16"/>
                    <a:srcRect l="5627" t="14667" r="7162" b="33661"/>
                    <a:stretch/>
                  </pic:blipFill>
                  <pic:spPr bwMode="auto">
                    <a:xfrm>
                      <a:off x="0" y="0"/>
                      <a:ext cx="3199613" cy="1066239"/>
                    </a:xfrm>
                    <a:prstGeom prst="rect">
                      <a:avLst/>
                    </a:prstGeom>
                    <a:ln>
                      <a:noFill/>
                    </a:ln>
                    <a:extLst>
                      <a:ext uri="{53640926-AAD7-44D8-BBD7-CCE9431645EC}">
                        <a14:shadowObscured xmlns:a14="http://schemas.microsoft.com/office/drawing/2010/main"/>
                      </a:ext>
                    </a:extLst>
                  </pic:spPr>
                </pic:pic>
              </a:graphicData>
            </a:graphic>
          </wp:inline>
        </w:drawing>
      </w:r>
    </w:p>
    <w:p w14:paraId="4C363374" w14:textId="38ACD7CB" w:rsidR="00741E65" w:rsidRPr="00C43931" w:rsidRDefault="00741E65" w:rsidP="00741E65">
      <w:pPr>
        <w:pStyle w:val="IJNEAMFigureCaption"/>
      </w:pPr>
      <w:r w:rsidRPr="009C4BAC">
        <w:rPr>
          <w:b/>
          <w:bCs/>
        </w:rPr>
        <w:t xml:space="preserve">Figure </w:t>
      </w:r>
      <w:r w:rsidRPr="009C4BAC">
        <w:rPr>
          <w:b/>
          <w:bCs/>
        </w:rPr>
        <w:fldChar w:fldCharType="begin"/>
      </w:r>
      <w:r w:rsidRPr="009C4BAC">
        <w:rPr>
          <w:b/>
          <w:bCs/>
        </w:rPr>
        <w:instrText xml:space="preserve"> SEQ Figure \* ARABIC </w:instrText>
      </w:r>
      <w:r w:rsidRPr="009C4BAC">
        <w:rPr>
          <w:b/>
          <w:bCs/>
        </w:rPr>
        <w:fldChar w:fldCharType="separate"/>
      </w:r>
      <w:r w:rsidR="002F2253">
        <w:rPr>
          <w:b/>
          <w:bCs/>
          <w:noProof/>
        </w:rPr>
        <w:t>1</w:t>
      </w:r>
      <w:r w:rsidRPr="009C4BAC">
        <w:rPr>
          <w:b/>
          <w:bCs/>
        </w:rPr>
        <w:fldChar w:fldCharType="end"/>
      </w:r>
      <w:r>
        <w:t xml:space="preserve">. Light transmission in tapered optical fiber </w:t>
      </w:r>
      <w:r w:rsidRPr="008E7C12">
        <w:t xml:space="preserve">BSA measurement experimental setup using cuvette </w:t>
      </w:r>
    </w:p>
    <w:p w14:paraId="6E03BA7E" w14:textId="77777777" w:rsidR="00741E65" w:rsidRDefault="00741E65" w:rsidP="001F27C6">
      <w:pPr>
        <w:rPr>
          <w:lang w:eastAsia="x-none"/>
        </w:rPr>
      </w:pPr>
    </w:p>
    <w:p w14:paraId="6A516236" w14:textId="783D39D0" w:rsidR="00584E20" w:rsidRPr="00F314EA" w:rsidRDefault="003E5B89" w:rsidP="00FA5A96">
      <w:pPr>
        <w:pStyle w:val="Heading1"/>
      </w:pPr>
      <w:r>
        <w:t>METHODOLOGY</w:t>
      </w:r>
    </w:p>
    <w:p w14:paraId="4F31A1EF" w14:textId="2BB89627" w:rsidR="00584E20" w:rsidRPr="00F314EA" w:rsidRDefault="008F1D3F" w:rsidP="00FA5A96">
      <w:pPr>
        <w:pStyle w:val="IJNEAMParagraph"/>
      </w:pPr>
      <w:r w:rsidRPr="008F1D3F">
        <w:t>In this study, three experimental setups were employed for investigation: a cuvette, a</w:t>
      </w:r>
      <w:r w:rsidR="001069AA">
        <w:t xml:space="preserve"> non-</w:t>
      </w:r>
      <w:r w:rsidRPr="008F1D3F">
        <w:t>bio-functionalized tapered optical fiber, and a bio-functionalized tapered optical fiber</w:t>
      </w:r>
      <w:r w:rsidR="003B0B33">
        <w:t xml:space="preserve">. </w:t>
      </w:r>
    </w:p>
    <w:p w14:paraId="416A7CB6" w14:textId="134D54ED" w:rsidR="00DB3EFE" w:rsidRDefault="00346E41" w:rsidP="00FA5A96">
      <w:pPr>
        <w:pStyle w:val="Heading2"/>
        <w:rPr>
          <w:iCs/>
        </w:rPr>
      </w:pPr>
      <w:r>
        <w:rPr>
          <w:iCs/>
        </w:rPr>
        <w:t>Sample Preparation</w:t>
      </w:r>
    </w:p>
    <w:p w14:paraId="3E1E3261" w14:textId="765BF8F3" w:rsidR="00584E20" w:rsidRPr="00F314EA" w:rsidRDefault="00F971E8" w:rsidP="00DB3EFE">
      <w:pPr>
        <w:pStyle w:val="Heading3"/>
        <w:rPr>
          <w:i/>
        </w:rPr>
      </w:pPr>
      <w:r>
        <w:t xml:space="preserve">BSA </w:t>
      </w:r>
      <w:r w:rsidR="00B7287A">
        <w:t>Solution Preparation</w:t>
      </w:r>
    </w:p>
    <w:p w14:paraId="75EEFD4C" w14:textId="112A5335" w:rsidR="009D6BEE" w:rsidRDefault="006D1899" w:rsidP="00FA5A96">
      <w:pPr>
        <w:pStyle w:val="IJNEAMParagraph"/>
      </w:pPr>
      <w:r w:rsidRPr="006D1899">
        <w:t>In this investigation, BSA solutions were prepared at concentrations ranging from 125 mg/dL to 31.25 mg/dL. A precise mass of 62.5 mg of BSA pellets was measured using an analytical balance. Approximately 40-45 mL of deionized (DI) water was added to a beaker, into which the BSA pellets were gradually introduced. The mixture was gently stirred until complete dissolution of the BSA pellets in the DI water was achieved. The resulting BSA solution was then transferred to a volumetric flask, and the beaker was rinsed with additional DI water to ensure complete transfer of the solution. DI water was added to the volumetric flask until the final volume reached 50 mL. The volumetric flask was then inverted multiple times to ensure thorough mixing of the solution.</w:t>
      </w:r>
    </w:p>
    <w:p w14:paraId="26A998B4" w14:textId="41B0ABFE" w:rsidR="00F75FE0" w:rsidRDefault="004C5607">
      <w:pPr>
        <w:pStyle w:val="Heading3"/>
      </w:pPr>
      <w:r w:rsidRPr="00BC3CA5">
        <w:t>Sodium Hydroxide Solution Preparation</w:t>
      </w:r>
    </w:p>
    <w:p w14:paraId="5C27E21B" w14:textId="0E588DE2" w:rsidR="00E970FF" w:rsidRDefault="00E970FF" w:rsidP="003043E2">
      <w:pPr>
        <w:pStyle w:val="IJNEAMParagraph"/>
      </w:pPr>
      <w:r w:rsidRPr="00E970FF">
        <w:t>Sodium hydroxide supplied by R&amp;M Chemical company is utilized for the hydroxylation process on the sensing surface. Precisely 0.4 g of NaOH was measured with a weighing scale and dissolved in 100 mL of deionized water.</w:t>
      </w:r>
    </w:p>
    <w:p w14:paraId="03DD9FEF" w14:textId="62EBCBBE" w:rsidR="00BB1873" w:rsidRDefault="002C13C8">
      <w:pPr>
        <w:pStyle w:val="Heading3"/>
      </w:pPr>
      <w:r w:rsidRPr="002C13C8">
        <w:t>3-aminopropyltriethoxysilane (APTES) Solution Preparation</w:t>
      </w:r>
    </w:p>
    <w:p w14:paraId="1209A748" w14:textId="34BDF64B" w:rsidR="008E35E2" w:rsidRDefault="00F60ECA" w:rsidP="006C52BF">
      <w:pPr>
        <w:pStyle w:val="IJNEAMParagraph"/>
      </w:pPr>
      <w:r w:rsidRPr="00F60ECA">
        <w:t xml:space="preserve">A 2% (v/v) solution of 98% pure 3-aminopropyltriethoxysilane (APTES) was prepared for experimental purposes. The APTES reagent, obtained from Sigma-Aldrich, was measured using a micropipette, </w:t>
      </w:r>
      <w:r w:rsidRPr="00F60ECA">
        <w:t>transferring 1.02 mL of the 98% solution into a beaker. Deionized water was then added to the beaker to achieve a final volume of 50 mL. The mixture was continuously stirred to ensure that the APTES was uniformly diluted to the target 2% concentration.</w:t>
      </w:r>
    </w:p>
    <w:p w14:paraId="0AF4244C" w14:textId="214D601B" w:rsidR="002C13C8" w:rsidRDefault="00396369">
      <w:pPr>
        <w:pStyle w:val="Heading3"/>
      </w:pPr>
      <w:r w:rsidRPr="00BC3CA5">
        <w:t>Glutaraldehyde Solution Preparation</w:t>
      </w:r>
    </w:p>
    <w:p w14:paraId="4DB4C71A" w14:textId="28258116" w:rsidR="00FB799A" w:rsidRDefault="00FB799A" w:rsidP="00A54CBE">
      <w:pPr>
        <w:pStyle w:val="IJNEAMParagraph"/>
      </w:pPr>
      <w:r w:rsidRPr="00FB799A">
        <w:t>A 2 mL aliquot of 50% glutaraldehyde solution (Sigma-Aldrich) was accurately measured with a micropipette, transferred to a beaker, and diluted with deionized water to a final volume of 50 mL. All safety precautions were observed, and the mixture was thoroughly stirred for homogenization.</w:t>
      </w:r>
    </w:p>
    <w:p w14:paraId="0B7323DC" w14:textId="22144D8A" w:rsidR="00396369" w:rsidRDefault="00A57778">
      <w:pPr>
        <w:pStyle w:val="Heading3"/>
      </w:pPr>
      <w:r w:rsidRPr="00A57778">
        <w:t>Tapered Optical Fiber Fabrication</w:t>
      </w:r>
    </w:p>
    <w:p w14:paraId="151A3F41" w14:textId="5ADB4F4A" w:rsidR="000636E2" w:rsidRDefault="002F17AB" w:rsidP="00A54CBE">
      <w:pPr>
        <w:pStyle w:val="IJNEAMParagraph"/>
      </w:pPr>
      <w:r w:rsidRPr="002F17AB">
        <w:t>The heat-pull technique has been used to fabricate tapered fiber optic sensors using a Vytran machine (GPX-3400</w:t>
      </w:r>
      <w:r w:rsidRPr="00703941">
        <w:t>)</w:t>
      </w:r>
      <w:r w:rsidR="000636E2" w:rsidRPr="00703941">
        <w:t>.</w:t>
      </w:r>
      <w:r w:rsidR="007C1CF1" w:rsidRPr="007C1CF1">
        <w:t xml:space="preserve"> This method was employed due to its capability to fabricate tapered fibers with uniformity and precision</w:t>
      </w:r>
      <w:r w:rsidR="00703941">
        <w:t xml:space="preserve"> </w:t>
      </w:r>
      <w:r w:rsidR="00703941">
        <w:fldChar w:fldCharType="begin" w:fldLock="1"/>
      </w:r>
      <w:r w:rsidR="00280E5C">
        <w:instrText>ADDIN CSL_CITATION {"citationItems":[{"id":"ITEM-1","itemData":{"DOI":"10.37934/araset.39.2.181190","ISSN":"24621943","abstract":"It is crucial to detect urea in clinical samples because urea levels in biological fluids are clinically linked to a number of disorders, including dehydration, heart failure, and renal dysfunction. Here, a tungsten disulfide (WS2)-coated tapered optical fibre sensor with increased sensitivity is suggested and demonstrated. The findings have shown that the sensing sensitivity is greatly improved with WS2 coating on the tapered optical fibre. This improvement is made possible by the unique optoelectronic capabilities of the WS2 layer and the tapered diameter size. The coating of the 20 µm tapered diameter with 20 µL WS2 results in the maximum sensitivity (up to 0.069 dBm/(mg/dL)) in the experiment. This result demonstrates a sensitivity improvement of 60% compared to the scenario in which a WS2 coating was not present. Analysis and discussions are conducted on the sensing performance improvements brought about by the tapered diameter size and the WS2 coating. In addition, the WS2 tapered optical fibre sensor possesses a linear correlation coefficient of 99.8 % in a concentration range of 10–50 mg/dL.","author":[{"dropping-particle":"","family":"Burham","given":"Norhafizah","non-dropping-particle":"","parse-names":false,"suffix":""},{"dropping-particle":"","family":"Bachok","given":"Nurnadia","non-dropping-particle":"","parse-names":false,"suffix":""},{"dropping-particle":"","family":"Ali","given":"Norazida","non-dropping-particle":"","parse-names":false,"suffix":""},{"dropping-particle":"","family":"Othman","given":"Ahmad Razi","non-dropping-particle":"","parse-names":false,"suffix":""},{"dropping-particle":"","family":"Arsad","given":"Norhana","non-dropping-particle":"","parse-names":false,"suffix":""},{"dropping-particle":"","family":"Awang","given":"Aziati Husna","non-dropping-particle":"","parse-names":false,"suffix":""},{"dropping-particle":"","family":"Isa","given":"Naimah Mat","non-dropping-particle":"","parse-names":false,"suffix":""},{"dropping-particle":"","family":"Li","given":"Zhibin","non-dropping-particle":"","parse-names":false,"suffix":""}],"container-title":"Journal of Advanced Research in Applied Sciences and Engineering Technology","id":"ITEM-1","issue":"2","issued":{"date-parts":[["2024"]]},"page":"181-190","title":"Effect of Coated Tungsten Disulfide (WS2) on Tapered Optical Fibre for Urea Detection","type":"article-journal","volume":"39"},"uris":["http://www.mendeley.com/documents/?uuid=0f15779f-1382-4c75-8804-76a628a06691"]}],"mendeley":{"formattedCitation":"[22]","plainTextFormattedCitation":"[22]","previouslyFormattedCitation":"[21]"},"properties":{"noteIndex":0},"schema":"https://github.com/citation-style-language/schema/raw/master/csl-citation.json"}</w:instrText>
      </w:r>
      <w:r w:rsidR="00703941">
        <w:fldChar w:fldCharType="separate"/>
      </w:r>
      <w:r w:rsidR="00280E5C" w:rsidRPr="00280E5C">
        <w:rPr>
          <w:noProof/>
        </w:rPr>
        <w:t>[22]</w:t>
      </w:r>
      <w:r w:rsidR="00703941">
        <w:fldChar w:fldCharType="end"/>
      </w:r>
      <w:r w:rsidR="007C1CF1" w:rsidRPr="007C1CF1">
        <w:t xml:space="preserve">. </w:t>
      </w:r>
      <w:r w:rsidR="000636E2" w:rsidRPr="000636E2">
        <w:t>The parameters employed for this sensor are derived from an optimized design, carefully refined through extensive experimental validation by previous researchers</w:t>
      </w:r>
      <w:r w:rsidR="00033838">
        <w:t xml:space="preserve"> </w:t>
      </w:r>
      <w:r w:rsidR="001A2ED8">
        <w:fldChar w:fldCharType="begin" w:fldLock="1"/>
      </w:r>
      <w:r w:rsidR="00280E5C">
        <w:instrText>ADDIN CSL_CITATION {"citationItems":[{"id":"ITEM-1","itemData":{"DOI":"10.1109/JSEN.2018.2813385","ISSN":"1530437X","abstract":"This proposed paper demonstrates the development of a bio-functionalized tapered multimode optical fiber for the detection of anti-Dengue virus NS1 Immunoglobin G (IgG). The tapered fiber with waist diameter and waist length of 10 and 10 mm, respectively, promotes the penetration of light modes to the core-cladding interface, creating evanescent wave that are sensitive to changes on the fiber surface. As the fiber is bio-functionalized with Dengue virus (DENV) NS1 glycoprotein specific to anti-DENV NS1 IgG antibodies, alteration on the surface is selective towards the presence of IgG antibodies. The absorbance-based sensor obtained a sensitivity value of 6 a.u/pg/mL with a detection time under 2 min. This paper shows great potential for real-world deployment which impact may bring Dengue diagnostics a step further.","author":[{"dropping-particle":"","family":"Mustapa","given":"Mohd Azmir","non-dropping-particle":"","parse-names":false,"suffix":""},{"dropping-particle":"","family":"Abu Bakar","given":"Muhammad Hafiz","non-dropping-particle":"","parse-names":false,"suffix":""},{"dropping-particle":"","family":"Mustapha Kamil","given":"Yasmin","non-dropping-particle":"","parse-names":false,"suffix":""},{"dropping-particle":"","family":"Syahir","given":"Amir","non-dropping-particle":"","parse-names":false,"suffix":""},{"dropping-particle":"","family":"Mahdi","given":"Mohd Adzir","non-dropping-particle":"","parse-names":false,"suffix":""}],"container-title":"IEEE Sensors Journal","id":"ITEM-1","issue":"10","issued":{"date-parts":[["2018"]]},"page":"4066-4072","publisher":"IEEE","title":"Bio-Functionalized Tapered Multimode Fiber Coated with Dengue Virus NS1 Glycoprotein for Label Free Detection of Anti-Dengue Virus NS1 IgG Antibody","type":"article-journal","volume":"18"},"uris":["http://www.mendeley.com/documents/?uuid=8347b86e-6b1c-4eef-9222-a083b47eef8f"]}],"mendeley":{"formattedCitation":"[23]","plainTextFormattedCitation":"[23]","previouslyFormattedCitation":"[22]"},"properties":{"noteIndex":0},"schema":"https://github.com/citation-style-language/schema/raw/master/csl-citation.json"}</w:instrText>
      </w:r>
      <w:r w:rsidR="001A2ED8">
        <w:fldChar w:fldCharType="separate"/>
      </w:r>
      <w:r w:rsidR="00280E5C" w:rsidRPr="00280E5C">
        <w:rPr>
          <w:noProof/>
        </w:rPr>
        <w:t>[23]</w:t>
      </w:r>
      <w:r w:rsidR="001A2ED8">
        <w:fldChar w:fldCharType="end"/>
      </w:r>
      <w:r w:rsidR="000636E2" w:rsidRPr="00703941">
        <w:t>.</w:t>
      </w:r>
      <w:r w:rsidR="000636E2" w:rsidRPr="000636E2">
        <w:t xml:space="preserve"> Initially, the cladding layer in the central portion of the optical fiber was stripped away. The prepared fiber was then positioned in the filament zone of the machine, with both ends secured in the fiber holders. During the heating process, driven by a motor, the fiber holders created two tapered sections on either side of a thinner central region. This central region serves as the sensing area of the tapered optical fiber sensor.</w:t>
      </w:r>
    </w:p>
    <w:p w14:paraId="0CB32508" w14:textId="3509A8AD" w:rsidR="00B7287A" w:rsidRDefault="008B60BB">
      <w:pPr>
        <w:pStyle w:val="Heading2"/>
      </w:pPr>
      <w:r>
        <w:t xml:space="preserve">Experimental Set </w:t>
      </w:r>
      <w:r w:rsidR="00B264D6">
        <w:t>Up</w:t>
      </w:r>
    </w:p>
    <w:p w14:paraId="53D5C016" w14:textId="7D49FF17" w:rsidR="00303742" w:rsidRDefault="001D2E43" w:rsidP="00303742">
      <w:pPr>
        <w:pStyle w:val="Heading3"/>
      </w:pPr>
      <w:r>
        <w:t>Conventional Cuvette Method</w:t>
      </w:r>
    </w:p>
    <w:p w14:paraId="1A4F2C1C" w14:textId="1EF3DC25" w:rsidR="00D83659" w:rsidRDefault="00C613B6" w:rsidP="00A54CBE">
      <w:pPr>
        <w:pStyle w:val="IJNEAMParagraph"/>
      </w:pPr>
      <w:r w:rsidRPr="00C613B6">
        <w:t xml:space="preserve">The experimental setup, as illustrated in Figure </w:t>
      </w:r>
      <w:r w:rsidR="004E2025">
        <w:t>2</w:t>
      </w:r>
      <w:r w:rsidRPr="00C613B6">
        <w:t>, comprised a DT-2-GS light source linked to the cuvette holder through the SMA 905 multimode optical fiber cable, with another component connected to the Flame Ocean Optic spectrometer via another SMA 905 multimode optical fiber cable. A 3.5 mL quartz cuvette was utilized throughout the experiment. Three BSA solutions, with concentrations varying from 125 mg/dL to 31.25 mg/dL, were prepared and subsequently measured using the cuvette.</w:t>
      </w:r>
    </w:p>
    <w:p w14:paraId="3491B8AF" w14:textId="210F475B" w:rsidR="00262B27" w:rsidRDefault="00F96A3D" w:rsidP="00D83659">
      <w:r w:rsidRPr="008E7C12">
        <w:rPr>
          <w:noProof/>
        </w:rPr>
        <w:drawing>
          <wp:inline distT="0" distB="0" distL="0" distR="0" wp14:anchorId="623130F8" wp14:editId="6DDA0D1E">
            <wp:extent cx="3208655" cy="1804670"/>
            <wp:effectExtent l="0" t="0" r="0" b="5080"/>
            <wp:docPr id="1732228839" name="Picture 1" descr="A diagram of a computer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28839" name="Picture 1" descr="A diagram of a computer software&#10;&#10;Description automatically generated"/>
                    <pic:cNvPicPr/>
                  </pic:nvPicPr>
                  <pic:blipFill>
                    <a:blip r:embed="rId17"/>
                    <a:stretch>
                      <a:fillRect/>
                    </a:stretch>
                  </pic:blipFill>
                  <pic:spPr>
                    <a:xfrm>
                      <a:off x="0" y="0"/>
                      <a:ext cx="3208655" cy="1804670"/>
                    </a:xfrm>
                    <a:prstGeom prst="rect">
                      <a:avLst/>
                    </a:prstGeom>
                  </pic:spPr>
                </pic:pic>
              </a:graphicData>
            </a:graphic>
          </wp:inline>
        </w:drawing>
      </w:r>
    </w:p>
    <w:p w14:paraId="4944EB85" w14:textId="6B8D418D" w:rsidR="001523D0" w:rsidRPr="00C43931" w:rsidRDefault="001523D0" w:rsidP="001523D0">
      <w:pPr>
        <w:pStyle w:val="IJNEAMFigureCaption"/>
      </w:pPr>
      <w:bookmarkStart w:id="3" w:name="_Hlk177676529"/>
      <w:bookmarkStart w:id="4" w:name="_Hlk180660248"/>
      <w:r w:rsidRPr="009C4BAC">
        <w:rPr>
          <w:b/>
          <w:bCs/>
        </w:rPr>
        <w:t xml:space="preserve">Figure </w:t>
      </w:r>
      <w:r w:rsidRPr="009C4BAC">
        <w:rPr>
          <w:b/>
          <w:bCs/>
        </w:rPr>
        <w:fldChar w:fldCharType="begin"/>
      </w:r>
      <w:r w:rsidRPr="009C4BAC">
        <w:rPr>
          <w:b/>
          <w:bCs/>
        </w:rPr>
        <w:instrText xml:space="preserve"> SEQ Figure \* ARABIC </w:instrText>
      </w:r>
      <w:r w:rsidRPr="009C4BAC">
        <w:rPr>
          <w:b/>
          <w:bCs/>
        </w:rPr>
        <w:fldChar w:fldCharType="separate"/>
      </w:r>
      <w:r w:rsidR="002F2253">
        <w:rPr>
          <w:b/>
          <w:bCs/>
          <w:noProof/>
        </w:rPr>
        <w:t>2</w:t>
      </w:r>
      <w:r w:rsidRPr="009C4BAC">
        <w:rPr>
          <w:b/>
          <w:bCs/>
        </w:rPr>
        <w:fldChar w:fldCharType="end"/>
      </w:r>
      <w:r>
        <w:t xml:space="preserve">. </w:t>
      </w:r>
      <w:r w:rsidRPr="008E7C12">
        <w:t xml:space="preserve">BSA measurement experimental setup using cuvette </w:t>
      </w:r>
      <w:bookmarkEnd w:id="3"/>
    </w:p>
    <w:bookmarkEnd w:id="4"/>
    <w:p w14:paraId="75D14942" w14:textId="77777777" w:rsidR="00F96A3D" w:rsidRPr="00D83659" w:rsidRDefault="00F96A3D" w:rsidP="00D83659"/>
    <w:p w14:paraId="1ACC21B3" w14:textId="2075F753" w:rsidR="001D2E43" w:rsidRDefault="001069AA">
      <w:pPr>
        <w:pStyle w:val="Heading3"/>
      </w:pPr>
      <w:r w:rsidRPr="00E04F7A">
        <w:rPr>
          <w:color w:val="000000" w:themeColor="text1"/>
        </w:rPr>
        <w:lastRenderedPageBreak/>
        <w:t xml:space="preserve">Non-Bio Functionalized </w:t>
      </w:r>
      <w:r w:rsidR="0008219D" w:rsidRPr="00E04F7A">
        <w:rPr>
          <w:color w:val="000000" w:themeColor="text1"/>
        </w:rPr>
        <w:t xml:space="preserve">Tapered </w:t>
      </w:r>
      <w:r w:rsidR="0008219D">
        <w:t>Optical Fiber</w:t>
      </w:r>
    </w:p>
    <w:p w14:paraId="639FC544" w14:textId="291DC0C4" w:rsidR="00E44A13" w:rsidRDefault="00287139" w:rsidP="00D74199">
      <w:pPr>
        <w:pStyle w:val="IJNEAMParagraph"/>
      </w:pPr>
      <w:r w:rsidRPr="00287139">
        <w:t xml:space="preserve">In the second experimental setup, illustrated in Figure </w:t>
      </w:r>
      <w:r w:rsidR="004E2025">
        <w:t>3</w:t>
      </w:r>
      <w:r w:rsidRPr="00287139">
        <w:t xml:space="preserve">, the configuration was the same as the initial setup, except that the cuvette and cuvette holder were replaced </w:t>
      </w:r>
      <w:r w:rsidRPr="00E04F7A">
        <w:rPr>
          <w:color w:val="000000" w:themeColor="text1"/>
        </w:rPr>
        <w:t>with</w:t>
      </w:r>
      <w:r w:rsidR="001069AA" w:rsidRPr="00E04F7A">
        <w:rPr>
          <w:color w:val="000000" w:themeColor="text1"/>
        </w:rPr>
        <w:t xml:space="preserve"> non-bio functionalized</w:t>
      </w:r>
      <w:r w:rsidRPr="00E04F7A">
        <w:rPr>
          <w:color w:val="000000" w:themeColor="text1"/>
        </w:rPr>
        <w:t xml:space="preserve"> tapered fiber sensors and a sensor holder. </w:t>
      </w:r>
      <w:r w:rsidR="00D74199" w:rsidRPr="00E04F7A">
        <w:rPr>
          <w:color w:val="000000" w:themeColor="text1"/>
        </w:rPr>
        <w:t xml:space="preserve">The tapered optical fiber used in this setup featured a waist length of 10 mm, a waist diameter of 10 µm, an upper taper length of 10 mm, and a lower taper length of 10 mm. </w:t>
      </w:r>
      <w:r w:rsidRPr="00E04F7A">
        <w:rPr>
          <w:color w:val="000000" w:themeColor="text1"/>
        </w:rPr>
        <w:t xml:space="preserve">The process involved using the Dip-Coat technique to apply </w:t>
      </w:r>
      <w:r w:rsidRPr="00287139">
        <w:t>BSA solutions to the sensor area until the submerged section of the sensor was completely immersed in the solution.</w:t>
      </w:r>
    </w:p>
    <w:p w14:paraId="1ACC2B6E" w14:textId="5B22FCFD" w:rsidR="006972D8" w:rsidRDefault="006972D8" w:rsidP="00E44A13">
      <w:pPr>
        <w:pStyle w:val="IJNEAMParagraph"/>
      </w:pPr>
    </w:p>
    <w:p w14:paraId="482AB9F9" w14:textId="2A2D6FB5" w:rsidR="00CA372A" w:rsidRDefault="00CA372A" w:rsidP="00E44A13">
      <w:pPr>
        <w:pStyle w:val="IJNEAMParagraph"/>
      </w:pPr>
      <w:r>
        <w:rPr>
          <w:noProof/>
        </w:rPr>
        <w:drawing>
          <wp:inline distT="0" distB="0" distL="0" distR="0" wp14:anchorId="2C233BF6" wp14:editId="4DB85A99">
            <wp:extent cx="3208302" cy="1804670"/>
            <wp:effectExtent l="0" t="0" r="0" b="5080"/>
            <wp:docPr id="5910369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36923" name="Picture 2"/>
                    <pic:cNvPicPr/>
                  </pic:nvPicPr>
                  <pic:blipFill>
                    <a:blip r:embed="rId18"/>
                    <a:stretch>
                      <a:fillRect/>
                    </a:stretch>
                  </pic:blipFill>
                  <pic:spPr>
                    <a:xfrm>
                      <a:off x="0" y="0"/>
                      <a:ext cx="3208302" cy="1804670"/>
                    </a:xfrm>
                    <a:prstGeom prst="rect">
                      <a:avLst/>
                    </a:prstGeom>
                  </pic:spPr>
                </pic:pic>
              </a:graphicData>
            </a:graphic>
          </wp:inline>
        </w:drawing>
      </w:r>
    </w:p>
    <w:p w14:paraId="57CAC1D9" w14:textId="247E7716" w:rsidR="00556EB7" w:rsidRPr="00C43931" w:rsidRDefault="00556EB7" w:rsidP="00556EB7">
      <w:pPr>
        <w:pStyle w:val="IJNEAMFigureCaption"/>
        <w:jc w:val="both"/>
      </w:pPr>
      <w:r w:rsidRPr="009C4BAC">
        <w:rPr>
          <w:b/>
          <w:bCs/>
        </w:rPr>
        <w:t xml:space="preserve">Figure </w:t>
      </w:r>
      <w:r w:rsidRPr="009C4BAC">
        <w:rPr>
          <w:b/>
          <w:bCs/>
        </w:rPr>
        <w:fldChar w:fldCharType="begin"/>
      </w:r>
      <w:r w:rsidRPr="009C4BAC">
        <w:rPr>
          <w:b/>
          <w:bCs/>
        </w:rPr>
        <w:instrText xml:space="preserve"> SEQ Figure \* ARABIC </w:instrText>
      </w:r>
      <w:r w:rsidRPr="009C4BAC">
        <w:rPr>
          <w:b/>
          <w:bCs/>
        </w:rPr>
        <w:fldChar w:fldCharType="separate"/>
      </w:r>
      <w:r w:rsidR="002F2253">
        <w:rPr>
          <w:b/>
          <w:bCs/>
          <w:noProof/>
        </w:rPr>
        <w:t>3</w:t>
      </w:r>
      <w:r w:rsidRPr="009C4BAC">
        <w:rPr>
          <w:b/>
          <w:bCs/>
        </w:rPr>
        <w:fldChar w:fldCharType="end"/>
      </w:r>
      <w:r>
        <w:t xml:space="preserve">. </w:t>
      </w:r>
      <w:r w:rsidRPr="008E7C12">
        <w:t xml:space="preserve">BSA </w:t>
      </w:r>
      <w:r w:rsidRPr="00AA0B5C">
        <w:t>measurement</w:t>
      </w:r>
      <w:r w:rsidRPr="008E7C12">
        <w:t xml:space="preserve"> experimental setup using </w:t>
      </w:r>
      <w:r w:rsidR="006972D8" w:rsidRPr="00E04F7A">
        <w:rPr>
          <w:color w:val="000000" w:themeColor="text1"/>
        </w:rPr>
        <w:t xml:space="preserve">non-bio functionalized </w:t>
      </w:r>
      <w:r w:rsidRPr="00E04F7A">
        <w:rPr>
          <w:color w:val="000000" w:themeColor="text1"/>
        </w:rPr>
        <w:t>tapered optical fiber/biofunctionalized t</w:t>
      </w:r>
      <w:r>
        <w:t xml:space="preserve">apered optical fiber </w:t>
      </w:r>
    </w:p>
    <w:p w14:paraId="35FE3B76" w14:textId="00EF3B06" w:rsidR="008A523E" w:rsidRDefault="008A523E" w:rsidP="008A523E">
      <w:pPr>
        <w:pStyle w:val="Heading3"/>
      </w:pPr>
      <w:r w:rsidRPr="008A523E">
        <w:t>Bio</w:t>
      </w:r>
      <w:r>
        <w:t>f</w:t>
      </w:r>
      <w:r w:rsidRPr="008A523E">
        <w:t>unctionalized Tapered Optical Fiber</w:t>
      </w:r>
    </w:p>
    <w:p w14:paraId="684A71CA" w14:textId="34289414" w:rsidR="002F1670" w:rsidRDefault="002F1670" w:rsidP="002F1670">
      <w:pPr>
        <w:pStyle w:val="IJNEAMParagraph"/>
      </w:pPr>
      <w:r>
        <w:t>The biofunctionalization of the sensor was implemented to enhance the adhesion of organic analytes to the sensing surface, comprising three main steps: hydroxylation, salinization, and aldehyde treatment. The experimental procedures and material formulations utilized in this study are based on methodologies established in prior research</w:t>
      </w:r>
      <w:r w:rsidR="002D5EE4">
        <w:t xml:space="preserve"> </w:t>
      </w:r>
      <w:r w:rsidR="00793DCE">
        <w:fldChar w:fldCharType="begin" w:fldLock="1"/>
      </w:r>
      <w:r w:rsidR="00280E5C">
        <w:instrText>ADDIN CSL_CITATION {"citationItems":[{"id":"ITEM-1","itemData":{"DOI":"10.1016/j.optmat.2023.113926","ISSN":"09253467","abstract":"Leptospirosis is an illness caused by a Leptospira bacterial infection, and it can be fatal if not correctly diagnosed and treated. This work explores the development of an optical biosensor that utilizes tapered optical fiber integrated with post-deposition annealed carbon quantum dots (CQDs) to improve Leptospira deoxyribonucleic acid (DNA) detection. A standard optical single-mode fiber was tapered before being deposited with CQDs. The surface properties of CQDs on the tapered optical fiber were then tuned using a simple, one-step annealing process. Leptospira probe DNA was covalently bonded to the annealed CQDs surface using several commercially available linkers. The detection was achieved through probe DNA fragments that were hybridized into different concentrations of complementary target DNA. The biosensor limit of detection remained at 1.0 fM, but a better sensitivity of 2.321 ± 0.048 nm/nM was obtained. The affinity towards Leptospira complementary DNA improved as the equilibrium dissociation constant value was lowered to 0.15 х 10−9 M compared to previous studies. In non-complementary DNA reactions, a minimal wavelength shift is detected, indicating the biosensor's high specificity, whereas studies using genomic DNAs from Leptospira and Clostridium difficile (as a control for genomic DNA) revealed similar observation. The integration of CQDs has achieved these remarkable biosensor traits, which hold great potential for developing a reliable leptospirosis diagnosis.","author":[{"dropping-particle":"","family":"Zainuddin","given":"Nurul Hida","non-dropping-particle":"","parse-names":false,"suffix":""},{"dropping-particle":"","family":"Chee","given":"Hui Yee","non-dropping-particle":"","parse-names":false,"suffix":""},{"dropping-particle":"","family":"Abdul Rashid","given":"Suraya","non-dropping-particle":"","parse-names":false,"suffix":""},{"dropping-particle":"","family":"Ahmad","given":"Muhammad Zamharir","non-dropping-particle":"","parse-names":false,"suffix":""},{"dropping-particle":"","family":"Zan","given":"Zuraidah","non-dropping-particle":"","parse-names":false,"suffix":""},{"dropping-particle":"","family":"Abu Bakar","given":"Muhammad Hafiz","non-dropping-particle":"","parse-names":false,"suffix":""},{"dropping-particle":"","family":"Alresheedi","given":"Mohammed Thamer","non-dropping-particle":"","parse-names":false,"suffix":""},{"dropping-particle":"","family":"Mahdi","given":"Mohd Adzir","non-dropping-particle":"","parse-names":false,"suffix":""},{"dropping-particle":"","family":"Yaacob","given":"Mohd Hanif","non-dropping-particle":"","parse-names":false,"suffix":""}],"container-title":"Optical Materials","id":"ITEM-1","issue":"March","issued":{"date-parts":[["2023"]]},"page":"113926","publisher":"Elsevier B.V.","title":"Enhanced detection sensitivity of Leptospira DNA using a post-deposition annealed carbon quantum dots integrated tapered optical fiber biosensor","type":"article-journal","volume":"141"},"uris":["http://www.mendeley.com/documents/?uuid=d9490692-c6fe-41f3-8b73-71ee68ad0379"]}],"mendeley":{"formattedCitation":"[24]","plainTextFormattedCitation":"[24]","previouslyFormattedCitation":"[23]"},"properties":{"noteIndex":0},"schema":"https://github.com/citation-style-language/schema/raw/master/csl-citation.json"}</w:instrText>
      </w:r>
      <w:r w:rsidR="00793DCE">
        <w:fldChar w:fldCharType="separate"/>
      </w:r>
      <w:r w:rsidR="00280E5C" w:rsidRPr="00280E5C">
        <w:rPr>
          <w:noProof/>
        </w:rPr>
        <w:t>[24]</w:t>
      </w:r>
      <w:r w:rsidR="00793DCE">
        <w:fldChar w:fldCharType="end"/>
      </w:r>
      <w:r>
        <w:t>. The hydroxylation process aimed to increase the density of hydroxyl (–OH) groups on the sensor's surface. To achieve this, 120 µL of 0.1 M sodium hydroxide (NaOH) was applied to the optical fiber sensor, which was then left to soak for one hour.</w:t>
      </w:r>
    </w:p>
    <w:p w14:paraId="0ABD0FE7" w14:textId="71D69DC4" w:rsidR="002F1670" w:rsidRDefault="002F1670" w:rsidP="002F1670">
      <w:pPr>
        <w:pStyle w:val="IJNEAMParagraph"/>
      </w:pPr>
      <w:r>
        <w:t>Subsequently, the salinization process was conducted to convert the hydroxyl groups into aminopropyl groups. This involved immersing the sensor in a 2% (v/v) solution of 3-aminopropyltriethoxysilane (APTES) for one hour. The final step, aldehyde treatment, served as a bifunctional linker to facilitate the attachment of BSA to the sensor. During this phase, aldehyde molecules bonded to the free amino groups on the silane-treated sensor, forming covalent amide bonds, while other aldehyde groups interacted with the amine groups present in BSA.</w:t>
      </w:r>
    </w:p>
    <w:p w14:paraId="3682C229" w14:textId="7B2B47E5" w:rsidR="004332CA" w:rsidRDefault="002F1670" w:rsidP="000D259A">
      <w:pPr>
        <w:pStyle w:val="IJNEAMParagraph"/>
      </w:pPr>
      <w:r>
        <w:t xml:space="preserve">The effectiveness of each functionalization step was monitored by measuring the optical absorption rate with a spectrometer. After completing the biofunctionalization process, the sensor was rinsed three times with deionized water and allowed to dry at room temperature. The sensor was then set up as in Figure 2. The experiment utilized the </w:t>
      </w:r>
      <w:r>
        <w:t>Dip Coating method, where a BSA solution was carefully applied to the detection region. The sensing region was then allowed to air dry for three hours to ensure proper binding and stability of the BSA molecules.</w:t>
      </w:r>
    </w:p>
    <w:p w14:paraId="4CF11589" w14:textId="29A2D651" w:rsidR="00584E20" w:rsidRPr="00FA5A96" w:rsidRDefault="00C52616" w:rsidP="00FA5A96">
      <w:pPr>
        <w:pStyle w:val="Heading1"/>
      </w:pPr>
      <w:r>
        <w:t xml:space="preserve">DATA COLLECTION AND </w:t>
      </w:r>
      <w:r w:rsidR="008108FC">
        <w:t>ANALYSIS</w:t>
      </w:r>
    </w:p>
    <w:p w14:paraId="0A4728B0" w14:textId="7BF9C608" w:rsidR="00215E7F" w:rsidRDefault="00215E7F">
      <w:pPr>
        <w:pStyle w:val="Heading2"/>
      </w:pPr>
      <w:r>
        <w:t>Time Responses</w:t>
      </w:r>
    </w:p>
    <w:p w14:paraId="5AB55A71" w14:textId="0157F8BE" w:rsidR="000A5817" w:rsidRDefault="00215E7F" w:rsidP="00215E7F">
      <w:pPr>
        <w:pStyle w:val="IJNEAMParagraph"/>
      </w:pPr>
      <w:r w:rsidRPr="00215E7F">
        <w:t xml:space="preserve">In this study, response times for three methods were systematically recorded for comparative analysis across various methods as shown in Figure </w:t>
      </w:r>
      <w:r w:rsidR="00B807B9">
        <w:t>4</w:t>
      </w:r>
      <w:r w:rsidRPr="00215E7F">
        <w:t xml:space="preserve">. As depicted in Figure </w:t>
      </w:r>
      <w:r w:rsidR="00B807B9">
        <w:t>4</w:t>
      </w:r>
      <w:r w:rsidRPr="00215E7F">
        <w:t xml:space="preserve"> (a), the response time of absorption measurements using a cuvette showed an initial spike to 3.5 optical density (OD) within the first 70 seconds, likely reflecting instability due to the introduction of the BSA sample. The system subsequently stabilized at 140 seconds, reaching an OD value of 0.68. </w:t>
      </w:r>
    </w:p>
    <w:p w14:paraId="6A0B261E" w14:textId="77777777" w:rsidR="00A04594" w:rsidRDefault="00215E7F" w:rsidP="00215E7F">
      <w:pPr>
        <w:pStyle w:val="IJNEAMParagraph"/>
      </w:pPr>
      <w:r w:rsidRPr="00215E7F">
        <w:t xml:space="preserve">Further graph, Figure </w:t>
      </w:r>
      <w:r w:rsidR="00B807B9">
        <w:t>4</w:t>
      </w:r>
      <w:r w:rsidRPr="00215E7F">
        <w:t>(b) shows that during the initial 100 seconds, absorption rose gradually, peaking at 0.28 OD over the next 50 seconds, followed by a decline to 0.041 OD with subsequent fluctuations. Stabilization occurred at approximately 330 seconds, with a final absorption value of 0.036 OD. The early spikes observed in both the cuvette and optical fiber sensor methods are attributed to interactions between the BSA molecules and the detection medium.</w:t>
      </w:r>
    </w:p>
    <w:p w14:paraId="07105361" w14:textId="00EDFE1D" w:rsidR="00160DCE" w:rsidRPr="00E04F7A" w:rsidRDefault="00160DCE" w:rsidP="00160DCE">
      <w:pPr>
        <w:pStyle w:val="IJNEAMParagraph"/>
        <w:rPr>
          <w:color w:val="000000" w:themeColor="text1"/>
        </w:rPr>
      </w:pPr>
      <w:r w:rsidRPr="00E04F7A">
        <w:rPr>
          <w:color w:val="000000" w:themeColor="text1"/>
        </w:rPr>
        <w:t>The initial spikes observed in Figures 4(a) and 4(b) during the early phase of absorbance measurements are likely attributable to several transient phenomena. These include initial mixing effects, wherein the BSA molecules may not be uniformly distributed within the medium, resulting in temporary concentration gradients that influence light absorption. Additionally, the formation of microbubbles or trapped air during sample loading can introduce localized scattering and refractive index changes, thereby distorting the optical signal. Solution settling may further contribute, as protein molecules require time to stabilize within the detection volume, leading to fluctuations in absorbance as the system transitions toward equilibrium. Moreover, early-phase interactions between BSA molecules and the detection surface</w:t>
      </w:r>
      <w:r w:rsidR="007E04A8" w:rsidRPr="00E04F7A">
        <w:rPr>
          <w:color w:val="000000" w:themeColor="text1"/>
        </w:rPr>
        <w:t xml:space="preserve"> </w:t>
      </w:r>
      <w:r w:rsidRPr="00E04F7A">
        <w:rPr>
          <w:color w:val="000000" w:themeColor="text1"/>
        </w:rPr>
        <w:t>whether the inner cuvette wall or the tapered optical fiber interface</w:t>
      </w:r>
      <w:r w:rsidR="007E04A8" w:rsidRPr="00E04F7A">
        <w:rPr>
          <w:color w:val="000000" w:themeColor="text1"/>
        </w:rPr>
        <w:t xml:space="preserve"> </w:t>
      </w:r>
      <w:r w:rsidRPr="00E04F7A">
        <w:rPr>
          <w:color w:val="000000" w:themeColor="text1"/>
        </w:rPr>
        <w:t>can induce temporary refractive index shifts or incomplete binding states, affecting the evanescent field or direct light path. Collectively, these factors produce short-lived perturbations in the absorbance signal prior to achieving steady-state conditions.</w:t>
      </w:r>
    </w:p>
    <w:p w14:paraId="04146386" w14:textId="1AAE9720" w:rsidR="00215E7F" w:rsidRDefault="00215E7F" w:rsidP="009C6D7A">
      <w:pPr>
        <w:pStyle w:val="IJNEAMParagraph"/>
      </w:pPr>
      <w:r w:rsidRPr="00215E7F">
        <w:t xml:space="preserve">Additionally, Figure </w:t>
      </w:r>
      <w:r w:rsidR="00B807B9">
        <w:t>4</w:t>
      </w:r>
      <w:r w:rsidRPr="00215E7F">
        <w:t>(c) illustrates a sharp decrease in absorption to -0.038 OD within the first 40 seconds, followed by a gradual deceleration up to 800 seconds. This initial decline is ascribed to the interaction of BSA molecules with the functionalized surface, which involved energy release, resulting in negative absorption values.</w:t>
      </w:r>
    </w:p>
    <w:p w14:paraId="56DA9E47" w14:textId="77777777" w:rsidR="003E5096" w:rsidRDefault="005C1975" w:rsidP="003E5096">
      <w:pPr>
        <w:pStyle w:val="IJNEAMParagraph"/>
        <w:jc w:val="center"/>
      </w:pPr>
      <w:r w:rsidRPr="005C1975">
        <w:rPr>
          <w:noProof/>
        </w:rPr>
        <w:lastRenderedPageBreak/>
        <w:drawing>
          <wp:inline distT="0" distB="0" distL="0" distR="0" wp14:anchorId="60DF13ED" wp14:editId="7B44B7F7">
            <wp:extent cx="3141963" cy="2580774"/>
            <wp:effectExtent l="0" t="0" r="1905" b="0"/>
            <wp:docPr id="1065597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597935" name=""/>
                    <pic:cNvPicPr/>
                  </pic:nvPicPr>
                  <pic:blipFill rotWithShape="1">
                    <a:blip r:embed="rId19"/>
                    <a:srcRect l="8814" t="9802" r="11302" b="4478"/>
                    <a:stretch/>
                  </pic:blipFill>
                  <pic:spPr bwMode="auto">
                    <a:xfrm>
                      <a:off x="0" y="0"/>
                      <a:ext cx="3147142" cy="2585028"/>
                    </a:xfrm>
                    <a:prstGeom prst="rect">
                      <a:avLst/>
                    </a:prstGeom>
                    <a:ln>
                      <a:noFill/>
                    </a:ln>
                    <a:extLst>
                      <a:ext uri="{53640926-AAD7-44D8-BBD7-CCE9431645EC}">
                        <a14:shadowObscured xmlns:a14="http://schemas.microsoft.com/office/drawing/2010/main"/>
                      </a:ext>
                    </a:extLst>
                  </pic:spPr>
                </pic:pic>
              </a:graphicData>
            </a:graphic>
          </wp:inline>
        </w:drawing>
      </w:r>
      <w:r w:rsidR="003E5096">
        <w:t>(a)</w:t>
      </w:r>
    </w:p>
    <w:p w14:paraId="00ECF81F" w14:textId="1BF6F89D" w:rsidR="00AF5F7A" w:rsidRDefault="00AF5F7A" w:rsidP="00215E7F">
      <w:pPr>
        <w:pStyle w:val="IJNEAMParagraph"/>
      </w:pPr>
    </w:p>
    <w:p w14:paraId="16BCAC1E" w14:textId="6402708A" w:rsidR="00A75608" w:rsidRDefault="007574A3" w:rsidP="0092055A">
      <w:pPr>
        <w:pStyle w:val="IJNEAMParagraph"/>
        <w:jc w:val="center"/>
      </w:pPr>
      <w:r w:rsidRPr="007574A3">
        <w:rPr>
          <w:noProof/>
        </w:rPr>
        <w:drawing>
          <wp:inline distT="0" distB="0" distL="0" distR="0" wp14:anchorId="47D7820C" wp14:editId="08DCD18A">
            <wp:extent cx="3074068" cy="2467908"/>
            <wp:effectExtent l="0" t="0" r="0" b="8890"/>
            <wp:docPr id="1097369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69579" name=""/>
                    <pic:cNvPicPr/>
                  </pic:nvPicPr>
                  <pic:blipFill rotWithShape="1">
                    <a:blip r:embed="rId20"/>
                    <a:srcRect l="7874" t="10287" r="11317" b="4963"/>
                    <a:stretch/>
                  </pic:blipFill>
                  <pic:spPr bwMode="auto">
                    <a:xfrm>
                      <a:off x="0" y="0"/>
                      <a:ext cx="3077652" cy="2470785"/>
                    </a:xfrm>
                    <a:prstGeom prst="rect">
                      <a:avLst/>
                    </a:prstGeom>
                    <a:ln>
                      <a:noFill/>
                    </a:ln>
                    <a:extLst>
                      <a:ext uri="{53640926-AAD7-44D8-BBD7-CCE9431645EC}">
                        <a14:shadowObscured xmlns:a14="http://schemas.microsoft.com/office/drawing/2010/main"/>
                      </a:ext>
                    </a:extLst>
                  </pic:spPr>
                </pic:pic>
              </a:graphicData>
            </a:graphic>
          </wp:inline>
        </w:drawing>
      </w:r>
      <w:r w:rsidR="003E5096" w:rsidRPr="003E5096">
        <w:rPr>
          <w:noProof/>
        </w:rPr>
        <w:t xml:space="preserve"> </w:t>
      </w:r>
      <w:r w:rsidR="003E5096">
        <w:t>(b)</w:t>
      </w:r>
      <w:r w:rsidR="003E5096" w:rsidRPr="003E5096">
        <w:rPr>
          <w:noProof/>
        </w:rPr>
        <w:drawing>
          <wp:inline distT="0" distB="0" distL="0" distR="0" wp14:anchorId="2CF3D1AA" wp14:editId="516C76C2">
            <wp:extent cx="3133534" cy="2370421"/>
            <wp:effectExtent l="0" t="0" r="0" b="0"/>
            <wp:docPr id="1451393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93112" name=""/>
                    <pic:cNvPicPr/>
                  </pic:nvPicPr>
                  <pic:blipFill rotWithShape="1">
                    <a:blip r:embed="rId21"/>
                    <a:srcRect l="6938" t="14794" r="10381" b="3499"/>
                    <a:stretch/>
                  </pic:blipFill>
                  <pic:spPr bwMode="auto">
                    <a:xfrm>
                      <a:off x="0" y="0"/>
                      <a:ext cx="3137061" cy="2373089"/>
                    </a:xfrm>
                    <a:prstGeom prst="rect">
                      <a:avLst/>
                    </a:prstGeom>
                    <a:ln>
                      <a:noFill/>
                    </a:ln>
                    <a:extLst>
                      <a:ext uri="{53640926-AAD7-44D8-BBD7-CCE9431645EC}">
                        <a14:shadowObscured xmlns:a14="http://schemas.microsoft.com/office/drawing/2010/main"/>
                      </a:ext>
                    </a:extLst>
                  </pic:spPr>
                </pic:pic>
              </a:graphicData>
            </a:graphic>
          </wp:inline>
        </w:drawing>
      </w:r>
      <w:r w:rsidR="00A75608">
        <w:t>(c)</w:t>
      </w:r>
    </w:p>
    <w:p w14:paraId="25506A1F" w14:textId="19EC7F7C" w:rsidR="00641DA8" w:rsidRDefault="00641DA8" w:rsidP="003E5096">
      <w:pPr>
        <w:pStyle w:val="IJNEAMFigureCaption"/>
      </w:pPr>
      <w:r w:rsidRPr="009C4BAC">
        <w:rPr>
          <w:b/>
          <w:bCs/>
        </w:rPr>
        <w:t xml:space="preserve">Figure </w:t>
      </w:r>
      <w:r w:rsidRPr="009C4BAC">
        <w:rPr>
          <w:b/>
          <w:bCs/>
        </w:rPr>
        <w:fldChar w:fldCharType="begin"/>
      </w:r>
      <w:r w:rsidRPr="009C4BAC">
        <w:rPr>
          <w:b/>
          <w:bCs/>
        </w:rPr>
        <w:instrText xml:space="preserve"> SEQ Figure \* ARABIC </w:instrText>
      </w:r>
      <w:r w:rsidRPr="009C4BAC">
        <w:rPr>
          <w:b/>
          <w:bCs/>
        </w:rPr>
        <w:fldChar w:fldCharType="separate"/>
      </w:r>
      <w:r w:rsidR="002F2253">
        <w:rPr>
          <w:b/>
          <w:bCs/>
          <w:noProof/>
        </w:rPr>
        <w:t>4</w:t>
      </w:r>
      <w:r w:rsidRPr="009C4BAC">
        <w:rPr>
          <w:b/>
          <w:bCs/>
        </w:rPr>
        <w:fldChar w:fldCharType="end"/>
      </w:r>
      <w:r>
        <w:t xml:space="preserve">. </w:t>
      </w:r>
      <w:r w:rsidRPr="00C52447">
        <w:t xml:space="preserve">Time responses for BSA </w:t>
      </w:r>
      <w:r w:rsidRPr="0079016E">
        <w:t>absorbance</w:t>
      </w:r>
      <w:r w:rsidRPr="00C52447">
        <w:t xml:space="preserve"> level using (a) cuvette; (b) tapered optical fiber and (c) biofunctionalized tapered optical fiber </w:t>
      </w:r>
    </w:p>
    <w:p w14:paraId="7A21BB9A" w14:textId="4C718DFC" w:rsidR="00584E20" w:rsidRPr="00F314EA" w:rsidRDefault="008A183A" w:rsidP="00FA5A96">
      <w:pPr>
        <w:pStyle w:val="Heading2"/>
        <w:rPr>
          <w:i/>
        </w:rPr>
      </w:pPr>
      <w:r>
        <w:rPr>
          <w:iCs/>
        </w:rPr>
        <w:t>Intensity Analysis</w:t>
      </w:r>
    </w:p>
    <w:p w14:paraId="2F0783DA" w14:textId="38DD7740" w:rsidR="00F35F81" w:rsidRDefault="00F35F81" w:rsidP="00F35F81">
      <w:pPr>
        <w:pStyle w:val="IJNEAMParagraph"/>
      </w:pPr>
      <w:r w:rsidRPr="000403C0">
        <w:t>The</w:t>
      </w:r>
      <w:r>
        <w:t xml:space="preserve"> subsequent analysis addresses light intensity measurements, expressed in counts, which indicate the amount of light detected by the spectrometer at specific wavelengths. Figure </w:t>
      </w:r>
      <w:r w:rsidR="007B3D3B">
        <w:t>5</w:t>
      </w:r>
      <w:r>
        <w:t xml:space="preserve"> (a) illustrates the penetration of light through</w:t>
      </w:r>
      <w:r w:rsidR="00C75508">
        <w:t xml:space="preserve"> BSA</w:t>
      </w:r>
      <w:r>
        <w:t xml:space="preserve"> in a cuvette at three different concentrations. The data reveal significant peaks at 320 nm, 500 nm, and 585 nm wavelengths, with intensity values ranging from 2,500 to 45,000 counts. At 320 nm, the highest concentration of BSA (125 mg/dL) demonstrates the lowest intensity, suggesting a higher light absorption at this concentration.</w:t>
      </w:r>
    </w:p>
    <w:p w14:paraId="4E5A03E8" w14:textId="4973EA0C" w:rsidR="00F35F81" w:rsidRDefault="00F35F81" w:rsidP="00F35F81">
      <w:pPr>
        <w:pStyle w:val="IJNEAMParagraph"/>
      </w:pPr>
      <w:r>
        <w:t>A pronounced variation in light intensity among the three concentrations is observed between 275 nm and 285 nm, a range situated within the UV spectrum. This variation is likely due to the increased interaction between light and BSA molecules at higher concentrations, particularly involving aromatic amino acids such as tryptophan, tyrosine, and phenylalanine, which have strong absorption properties in the UV range. Consequently, the higher the absorption by these amino acids, the less light is transmitted through the solution. Outside this wavelength range, the differences among the concentrations are less significant.</w:t>
      </w:r>
    </w:p>
    <w:p w14:paraId="6E54C095" w14:textId="3DBAF278" w:rsidR="00F35F81" w:rsidRDefault="00F35F81" w:rsidP="00F35F81">
      <w:pPr>
        <w:pStyle w:val="IJNEAMParagraph"/>
      </w:pPr>
      <w:r>
        <w:t xml:space="preserve">In contrast, when light intensity is measured using a tapered optical fiber biosensor, a distinct spectrum emerges, with intensity values ranging from 2,500 to 14,000 counts as shown in Figure </w:t>
      </w:r>
      <w:r w:rsidR="007B3D3B">
        <w:t>5</w:t>
      </w:r>
      <w:r>
        <w:t xml:space="preserve"> (b). The deployment of tapered optical fibers as biosensors results in a reduced light intensity detected by the spectrometer. This reduction occurs as light traverses the tapered fiber, where a portion exits the core and cladding to interact with the sensor surface, while the remaining light continues to propagate within the core to the spectrometer. The spectrum displays a primary peak at approximately 582 nm, followed by a secondary peak at 603 nm. Consistent with the cuvette measurements, higher concentrations of BSA correlate with lower light intensity readings.</w:t>
      </w:r>
    </w:p>
    <w:p w14:paraId="0B3F55FB" w14:textId="11167162" w:rsidR="00F35F81" w:rsidRPr="00694774" w:rsidRDefault="00F35F81" w:rsidP="00F35F81">
      <w:pPr>
        <w:pStyle w:val="IJNEAMParagraph"/>
      </w:pPr>
      <w:r w:rsidRPr="004A6E0E">
        <w:t xml:space="preserve">Figure </w:t>
      </w:r>
      <w:r w:rsidR="007B3D3B">
        <w:t>5</w:t>
      </w:r>
      <w:r w:rsidRPr="004A6E0E">
        <w:t xml:space="preserve">(c) further depicts the change in light intensity before and after BSA application on the sensor surface. Within the wavelength range of 362 nm to 725 nm, a significant difference in light intensity is observed for higher BSA concentrations compared to lower concentrations. This difference is attributed to the light exiting the core and cladding, which initially interacts with the bio-functionalized optical surface and subsequently with the BSA molecules attached to the bio-functionalized tapered optical fiber sensor surface. As a result, the quantity of light interacting with the surface increases compared to the initial state. Beyond this wavelength range, while differences in light intensity among the BSA concentrations persist, they </w:t>
      </w:r>
      <w:r w:rsidRPr="00694774">
        <w:t>are less pronounced.</w:t>
      </w:r>
    </w:p>
    <w:p w14:paraId="301E3E03" w14:textId="515C2472" w:rsidR="00A96BD8" w:rsidRDefault="007B2B4B">
      <w:pPr>
        <w:pStyle w:val="Heading2"/>
      </w:pPr>
      <w:r>
        <w:t>Absorbance Analysis</w:t>
      </w:r>
    </w:p>
    <w:p w14:paraId="690C7FB6" w14:textId="10294349" w:rsidR="00DE04F8" w:rsidRDefault="00DE04F8" w:rsidP="00DE04F8">
      <w:pPr>
        <w:pStyle w:val="IJNEAMParagraph"/>
      </w:pPr>
      <w:r>
        <w:t xml:space="preserve">The next analysis is an absorbance analysis. The absorbance spectra of BSA solutions at varying concentrations, as shown in Figure </w:t>
      </w:r>
      <w:r w:rsidR="00285756">
        <w:t>6</w:t>
      </w:r>
      <w:r>
        <w:t xml:space="preserve">(a), reveal distinct peaks at 229 nm and 277 nm. The peak at 229 nm corresponds to the π-π* transition in the peptide backbone, while the 277 nm peak is linked to the absorption by aromatic amino acids such as </w:t>
      </w:r>
      <w:r>
        <w:lastRenderedPageBreak/>
        <w:t>tryptophan, tyrosine, and phenylalanine</w:t>
      </w:r>
      <w:r w:rsidR="00C158CB">
        <w:t xml:space="preserve"> </w:t>
      </w:r>
      <w:r w:rsidR="003A029D">
        <w:fldChar w:fldCharType="begin" w:fldLock="1"/>
      </w:r>
      <w:r w:rsidR="00280E5C">
        <w:instrText>ADDIN CSL_CITATION {"citationItems":[{"id":"ITEM-1","itemData":{"DOI":"10.1021/jp100903x","ISSN":"15205207","abstract":"Bovine serum albumin (BSA) nonspecifically binds to well-dispersed multiwalled carbon nanotubes (MWCNTs), forming a stable bioconjugate. After accounting for the inner filter effect, we found the fluorescence intensity of BSA was quenched by MWCNTs in static mode, which was authenticated by lifetime measurements and Stern-Volmer calculations. The thermodynamic parameters δG°, δS°, and δH° were -9.67 ×103 + 2.48 ×103λ J·mol-1, 41.0-0.828λ J·mol-1·K-1, and 7.30 ×103 + 2.23 ×103λ J·mol -1 (λ &lt; 1 ×10-4), respectively, which shows a spontaneous and electrostatic interaction. Scatchard analysis and UV-visible results provide statistical data concerning changes in the microenvironment of amide moieties in response to different doses of MWCNTs, revealing different behavior of the BSA molecules. The absorption spectra also show that the tertiary structure of the protein was partially destroyed. The content of secondary structure elements of BSA was changed by the tubes. This work elucidates the interaction mechanism of BSA and MWCNTs from a spectroscopic angle. © 2010 American Chemical Society.","author":[{"dropping-particle":"","family":"Zhao","given":"Xingchen","non-dropping-particle":"","parse-names":false,"suffix":""},{"dropping-particle":"","family":"Liu","given":"Rutao","non-dropping-particle":"","parse-names":false,"suffix":""},{"dropping-particle":"","family":"Chi","given":"Zhenxing","non-dropping-particle":"","parse-names":false,"suffix":""},{"dropping-particle":"","family":"Teng","given":"Yue","non-dropping-particle":"","parse-names":false,"suffix":""},{"dropping-particle":"","family":"Qin","given":"Pengfei","non-dropping-particle":"","parse-names":false,"suffix":""}],"container-title":"Journal of Physical Chemistry B","id":"ITEM-1","issue":"16","issued":{"date-parts":[["2010"]]},"page":"5625-5631","title":"New insights into the behavior of bovine serum albumin adsorbed onto carbon nanotubes: Comprehensive spectroscopic studies","type":"article-journal","volume":"114"},"uris":["http://www.mendeley.com/documents/?uuid=489ba65b-e2ee-4795-8e29-df9904e4396e"]}],"mendeley":{"formattedCitation":"[25]","plainTextFormattedCitation":"[25]","previouslyFormattedCitation":"[24]"},"properties":{"noteIndex":0},"schema":"https://github.com/citation-style-language/schema/raw/master/csl-citation.json"}</w:instrText>
      </w:r>
      <w:r w:rsidR="003A029D">
        <w:fldChar w:fldCharType="separate"/>
      </w:r>
      <w:r w:rsidR="00280E5C" w:rsidRPr="00280E5C">
        <w:rPr>
          <w:noProof/>
        </w:rPr>
        <w:t>[25]</w:t>
      </w:r>
      <w:r w:rsidR="003A029D">
        <w:fldChar w:fldCharType="end"/>
      </w:r>
      <w:r>
        <w:t xml:space="preserve">. Notably, the spectra do not exhibit significant absorbance in the visible and NIR regions. </w:t>
      </w:r>
    </w:p>
    <w:p w14:paraId="13820244" w14:textId="38EF0C7F" w:rsidR="00ED00B9" w:rsidRPr="00E04F7A" w:rsidRDefault="00DE04F8" w:rsidP="00600E54">
      <w:pPr>
        <w:pStyle w:val="IJNEAMParagraph"/>
        <w:rPr>
          <w:color w:val="000000" w:themeColor="text1"/>
        </w:rPr>
      </w:pPr>
      <w:r>
        <w:t xml:space="preserve">Figure </w:t>
      </w:r>
      <w:r w:rsidR="00285756">
        <w:t>6</w:t>
      </w:r>
      <w:r>
        <w:t xml:space="preserve">(b) highlights the differential absorbance characteristics when utilizing a </w:t>
      </w:r>
      <w:r w:rsidR="00620BD4" w:rsidRPr="00E04F7A">
        <w:rPr>
          <w:color w:val="000000" w:themeColor="text1"/>
        </w:rPr>
        <w:t xml:space="preserve">non-bio functionalized </w:t>
      </w:r>
      <w:r w:rsidRPr="00E04F7A">
        <w:rPr>
          <w:color w:val="000000" w:themeColor="text1"/>
        </w:rPr>
        <w:t>tapered fiber optic sensor compared to traditional cuvettes, showing less than 5% absorbance. This reduction is attributed to lower light capture efficiency in the fiber optic system</w:t>
      </w:r>
      <w:r w:rsidR="00600E54" w:rsidRPr="00E04F7A">
        <w:rPr>
          <w:color w:val="000000" w:themeColor="text1"/>
        </w:rPr>
        <w:t xml:space="preserve"> as only a portion of the guided light is allowed to interact via the EW</w:t>
      </w:r>
      <w:r w:rsidRPr="00E04F7A">
        <w:rPr>
          <w:color w:val="000000" w:themeColor="text1"/>
        </w:rPr>
        <w:t xml:space="preserve">. </w:t>
      </w:r>
      <w:r w:rsidR="00600E54" w:rsidRPr="00E04F7A">
        <w:rPr>
          <w:color w:val="000000" w:themeColor="text1"/>
        </w:rPr>
        <w:t>Unlike conventional cuvettes, where the full optical path interacts directly with the sample non-bio functionalized tapered optical fiber rely on the evanescent field. An exponentially decaying electromagnetic field that extends into the surrounding medium beyond the fiber cladding. This field enables partial interaction between light and analyte molecules at the surface. According to the Beer–Lambert law, absorbance (A) is directly proportional to the concentration (C), path length (</w:t>
      </w:r>
      <m:oMath>
        <m:r>
          <w:rPr>
            <w:rFonts w:ascii="Cambria Math" w:hAnsi="Cambria Math"/>
            <w:color w:val="000000" w:themeColor="text1"/>
          </w:rPr>
          <m:t>l</m:t>
        </m:r>
      </m:oMath>
      <w:r w:rsidR="00600E54" w:rsidRPr="00E04F7A">
        <w:rPr>
          <w:color w:val="000000" w:themeColor="text1"/>
        </w:rPr>
        <w:t xml:space="preserve">), and the molar extinction coefficient (ε), expressed as </w:t>
      </w:r>
    </w:p>
    <w:p w14:paraId="258D3C92" w14:textId="2EA217B1" w:rsidR="00ED00B9" w:rsidRPr="00E04F7A" w:rsidRDefault="00ED00B9" w:rsidP="00600E54">
      <w:pPr>
        <w:pStyle w:val="IJNEAMParagraph"/>
        <w:rPr>
          <w:color w:val="000000" w:themeColor="text1"/>
        </w:rPr>
      </w:pPr>
      <m:oMathPara>
        <m:oMath>
          <m:r>
            <w:rPr>
              <w:rFonts w:ascii="Cambria Math" w:hAnsi="Cambria Math"/>
              <w:color w:val="000000" w:themeColor="text1"/>
            </w:rPr>
            <m:t>A=εCl</m:t>
          </m:r>
        </m:oMath>
      </m:oMathPara>
    </w:p>
    <w:p w14:paraId="1B821AE3" w14:textId="11204E0C" w:rsidR="00600E54" w:rsidRPr="00E04F7A" w:rsidRDefault="00600E54" w:rsidP="00600E54">
      <w:pPr>
        <w:pStyle w:val="IJNEAMParagraph"/>
        <w:rPr>
          <w:color w:val="000000" w:themeColor="text1"/>
        </w:rPr>
      </w:pPr>
      <w:r w:rsidRPr="00E04F7A">
        <w:rPr>
          <w:color w:val="000000" w:themeColor="text1"/>
        </w:rPr>
        <w:t xml:space="preserve">In the context of </w:t>
      </w:r>
      <w:r w:rsidR="00ED00B9" w:rsidRPr="00E04F7A">
        <w:rPr>
          <w:color w:val="000000" w:themeColor="text1"/>
        </w:rPr>
        <w:t xml:space="preserve">non-bio functionalized </w:t>
      </w:r>
      <w:r w:rsidRPr="00E04F7A">
        <w:rPr>
          <w:color w:val="000000" w:themeColor="text1"/>
        </w:rPr>
        <w:t>tapered optical fibers, the effective path length is governed by the penetration depth of the evanescent wave, which is influenced by the wavelength, refractive index contrast, and taper geometry. As a result, absorbance is modulated by the evanescent wave intensity, which decays exponentially from the fiber surface. A weaker EW intensity or shorter penetration depth leads to reduced effective absorbance values, as observed in this figure.</w:t>
      </w:r>
    </w:p>
    <w:p w14:paraId="1F8C65BA" w14:textId="211CD9EC" w:rsidR="00DE04F8" w:rsidRPr="00E04F7A" w:rsidRDefault="00DE04F8" w:rsidP="00600E54">
      <w:pPr>
        <w:pStyle w:val="IJNEAMParagraph"/>
        <w:rPr>
          <w:color w:val="000000" w:themeColor="text1"/>
        </w:rPr>
      </w:pPr>
      <w:r w:rsidRPr="00E04F7A">
        <w:rPr>
          <w:color w:val="000000" w:themeColor="text1"/>
        </w:rPr>
        <w:t>The observed absorbance peak around 340 nm, predominantly due to lysine's charge transfer transitions, extends beyond this wavelength</w:t>
      </w:r>
      <w:r w:rsidR="00264B90" w:rsidRPr="00E04F7A">
        <w:rPr>
          <w:color w:val="000000" w:themeColor="text1"/>
        </w:rPr>
        <w:fldChar w:fldCharType="begin" w:fldLock="1"/>
      </w:r>
      <w:r w:rsidR="00280E5C" w:rsidRPr="00E04F7A">
        <w:rPr>
          <w:color w:val="000000" w:themeColor="text1"/>
        </w:rPr>
        <w:instrText>ADDIN CSL_CITATION {"citationItems":[{"id":"ITEM-1","itemData":{"DOI":"10.1039/c7sc00880e","ISSN":"20416539","abstract":"Electronic absorption spectra of proteins are primarily characterized over the ultraviolet region (185-320 nm) of the electromagnetic spectrum. While recent studies on peptide aggregates have revealed absorption beyond 350 nm, monomeric proteins lacking aromatic amino acids, disulphide bonds, and active site prosthetic groups are expected to remain optically silent beyond 250 nm. Here, in a joint theoretical and experimental investigation, we report the distinctive UV-Vis absorption spectrum between 250 nm [ϵ = 7338 M-1 cm-1] and 800 nm [ϵ = 501 M-1 cm-1] in a synthetic 67 residue protein (α3C), in monomeric form, devoid of aromatic amino acids. Systematic control studies with high concentration non-aromatic amino acid solutions revealed significant absorption beyond 250 nm for charged amino acids which constitute over 50% of the sequence composition in α3C. Classical atomistic molecular dynamics (MD) simulations of α3C reveal dynamic interactions between multiple charged sidechains of Lys and Glu residues present in α3C. Time-dependent density functional theory calculations on charged amino acid residues sampled from the MD trajectories of α3C reveal that the distinctive absorption features of α3C may arise from two different types of charge transfer (CT) transitions involving spatially proximal Lys/Glu amino acids. Specifically, we show that the charged amino (NH3+)/carboxylate (COO-) groups of Lys/Glu sidechains act as electronic charge acceptors/donors for photoinduced electron transfer either from/to the polypeptide backbone or to each other. Further, the sensitivity of the CT spectra to close/far/intermediate range of encounters between sidechains of Lys/Glu owing to the three dimensional protein fold can create the long tail in the α3C absorption profile between 300 and 800 nm. Finally, we experimentally demonstrate the sensitivity of α3C absorption spectrum to temperature and pH-induced changes in protein structure. Taken together, our investigation significantly expands the pool of spectroscopically active biomolecular chromophores and adds an optical 250-800 nm spectral window, which we term ProCharTS (Protein Charge Transfer Spectra), for label free probes of biomolecular structure and dynamics.","author":[{"dropping-particle":"","family":"Prasad","given":"Saumya","non-dropping-particle":"","parse-names":false,"suffix":""},{"dropping-particle":"","family":"Mandal","given":"Imon","non-dropping-particle":"","parse-names":false,"suffix":""},{"dropping-particle":"","family":"Singh","given":"Shubham","non-dropping-particle":"","parse-names":false,"suffix":""},{"dropping-particle":"","family":"Paul","given":"Ashim","non-dropping-particle":"","parse-names":false,"suffix":""},{"dropping-particle":"","family":"Mandal","given":"Bhubaneswar","non-dropping-particle":"","parse-names":false,"suffix":""},{"dropping-particle":"","family":"Venkatramani","given":"Ravindra","non-dropping-particle":"","parse-names":false,"suffix":""},{"dropping-particle":"","family":"Swaminathan","given":"Rajaram","non-dropping-particle":"","parse-names":false,"suffix":""}],"container-title":"Chemical Science","id":"ITEM-1","issue":"8","issued":{"date-parts":[["2017"]]},"page":"5416-5433","publisher":"Royal Society of Chemistry","title":"Near UV-Visible electronic absorption originating from charged amino acids in a monomeric protein","type":"article-journal","volume":"8"},"uris":["http://www.mendeley.com/documents/?uuid=6d611553-5c7a-438b-a01a-c8bb5acad743"]}],"mendeley":{"formattedCitation":"[26]","plainTextFormattedCitation":"[26]","previouslyFormattedCitation":"[25]"},"properties":{"noteIndex":0},"schema":"https://github.com/citation-style-language/schema/raw/master/csl-citation.json"}</w:instrText>
      </w:r>
      <w:r w:rsidR="00264B90" w:rsidRPr="00E04F7A">
        <w:rPr>
          <w:color w:val="000000" w:themeColor="text1"/>
        </w:rPr>
        <w:fldChar w:fldCharType="separate"/>
      </w:r>
      <w:r w:rsidR="00280E5C" w:rsidRPr="00E04F7A">
        <w:rPr>
          <w:noProof/>
          <w:color w:val="000000" w:themeColor="text1"/>
        </w:rPr>
        <w:t>[26]</w:t>
      </w:r>
      <w:r w:rsidR="00264B90" w:rsidRPr="00E04F7A">
        <w:rPr>
          <w:color w:val="000000" w:themeColor="text1"/>
        </w:rPr>
        <w:fldChar w:fldCharType="end"/>
      </w:r>
      <w:r w:rsidRPr="00E04F7A">
        <w:rPr>
          <w:color w:val="000000" w:themeColor="text1"/>
        </w:rPr>
        <w:t>. The declining absorbance trend at longer wavelengths is consistent with a decrease in the molar extinction coefficient. Nevertheless, there is an increase in absorbance between 647 nm and 750 nm</w:t>
      </w:r>
      <w:r w:rsidR="00326587" w:rsidRPr="00E04F7A">
        <w:rPr>
          <w:color w:val="000000" w:themeColor="text1"/>
        </w:rPr>
        <w:t xml:space="preserve"> which may indicate weak vibrational overtone interactions.</w:t>
      </w:r>
    </w:p>
    <w:p w14:paraId="7982E3C2" w14:textId="4D3B8A5F" w:rsidR="00D60E4E" w:rsidRPr="00E04F7A" w:rsidRDefault="00DE04F8" w:rsidP="00D60E4E">
      <w:pPr>
        <w:rPr>
          <w:color w:val="000000" w:themeColor="text1"/>
        </w:rPr>
      </w:pPr>
      <w:r w:rsidRPr="00E04F7A">
        <w:rPr>
          <w:color w:val="000000" w:themeColor="text1"/>
        </w:rPr>
        <w:t xml:space="preserve">Figure </w:t>
      </w:r>
      <w:r w:rsidR="00285756" w:rsidRPr="00E04F7A">
        <w:rPr>
          <w:color w:val="000000" w:themeColor="text1"/>
        </w:rPr>
        <w:t>6</w:t>
      </w:r>
      <w:r w:rsidRPr="00E04F7A">
        <w:rPr>
          <w:color w:val="000000" w:themeColor="text1"/>
        </w:rPr>
        <w:t xml:space="preserve"> (c) illustrates that the highest BSA concentration shows the greatest absorbance across almost all spectra below 915 nm, suggesting successful immobilization on the functionalized surface.</w:t>
      </w:r>
      <w:r w:rsidR="00D60E4E" w:rsidRPr="00E04F7A">
        <w:rPr>
          <w:color w:val="000000" w:themeColor="text1"/>
        </w:rPr>
        <w:t xml:space="preserve"> The interaction between the evanescent field and immobilized BSA molecules on the sensor surface is enhanced due to improved surface binding.</w:t>
      </w:r>
      <w:r w:rsidRPr="00E04F7A">
        <w:rPr>
          <w:color w:val="000000" w:themeColor="text1"/>
        </w:rPr>
        <w:t xml:space="preserve"> In the visible spectrum (400-700 nm), absorbance remains relatively constant, indicating the sensor's stability and reliability in detecting BSA. The NIR region (650-1000 nm) also shows a minor increase in absorbance, likely due to BSA's vibrational overtones and combination bands. </w:t>
      </w:r>
      <w:r w:rsidR="00D60E4E" w:rsidRPr="00E04F7A">
        <w:rPr>
          <w:color w:val="000000" w:themeColor="text1"/>
        </w:rPr>
        <w:t>This behavior reaffirms that the enhanced evanescent field interactions improved surface functionalization</w:t>
      </w:r>
      <w:r w:rsidR="00A6391B" w:rsidRPr="00E04F7A">
        <w:rPr>
          <w:color w:val="000000" w:themeColor="text1"/>
        </w:rPr>
        <w:t xml:space="preserve"> </w:t>
      </w:r>
      <w:r w:rsidR="00D60E4E" w:rsidRPr="00E04F7A">
        <w:rPr>
          <w:color w:val="000000" w:themeColor="text1"/>
        </w:rPr>
        <w:t>directly increase the effective optical path length and lead to higher absorbance responses, thereby validating the Beer–Lambert relationship in the context of evanescent wave-based sensing.</w:t>
      </w:r>
    </w:p>
    <w:p w14:paraId="73E44A0C" w14:textId="77777777" w:rsidR="009E56D6" w:rsidRPr="00E04F7A" w:rsidRDefault="009E56D6" w:rsidP="00D60E4E">
      <w:pPr>
        <w:rPr>
          <w:color w:val="000000" w:themeColor="text1"/>
        </w:rPr>
      </w:pPr>
    </w:p>
    <w:p w14:paraId="2D13A688" w14:textId="77777777" w:rsidR="009E56D6" w:rsidRPr="00E04F7A" w:rsidRDefault="009E56D6" w:rsidP="00D60E4E">
      <w:pPr>
        <w:rPr>
          <w:color w:val="000000" w:themeColor="text1"/>
        </w:rPr>
      </w:pPr>
      <w:r w:rsidRPr="00E04F7A">
        <w:rPr>
          <w:color w:val="000000" w:themeColor="text1"/>
        </w:rPr>
        <w:t xml:space="preserve">The observed discrepancy between the insignificant intensity variation across BSA concentrations in Figure 5(b) and the clear absorbance increase in Figure 6(b) can be </w:t>
      </w:r>
      <w:r w:rsidRPr="00E04F7A">
        <w:rPr>
          <w:color w:val="000000" w:themeColor="text1"/>
        </w:rPr>
        <w:t xml:space="preserve">attributed to the inherent limitations in light coupling efficiency and mode confinement within the tapered optical fiber sensor. Although the Beer–Lambert law predicts an inverse relationship between absorbance and transmitted light intensity, this relationship assumes a uniform and well-defined optical path length through the sample. In tapered optical fibers, only a fraction of the guided light propagates as an evanescent wave that interacts with the external medium, while the remaining light continues to travel through the fiber core with minimal interaction. As a result, the detected intensity differences may appear negligible due to the small portion of light affected by the analyte. </w:t>
      </w:r>
    </w:p>
    <w:p w14:paraId="236D7881" w14:textId="77777777" w:rsidR="009E56D6" w:rsidRPr="00E04F7A" w:rsidRDefault="009E56D6" w:rsidP="00D60E4E">
      <w:pPr>
        <w:rPr>
          <w:color w:val="000000" w:themeColor="text1"/>
        </w:rPr>
      </w:pPr>
    </w:p>
    <w:p w14:paraId="5E0FBA10" w14:textId="65E87F6D" w:rsidR="009E56D6" w:rsidRPr="00E04F7A" w:rsidRDefault="009E56D6" w:rsidP="00D60E4E">
      <w:pPr>
        <w:rPr>
          <w:color w:val="000000" w:themeColor="text1"/>
        </w:rPr>
      </w:pPr>
      <w:r w:rsidRPr="00E04F7A">
        <w:rPr>
          <w:color w:val="000000" w:themeColor="text1"/>
        </w:rPr>
        <w:t>Additionally, factors such as modal dispersion, fiber bending losses, and imperfect alignment during dip-coating may introduce variability and suppress measurable changes in raw intensity values. In contrast, the absorbance spectrum shown in Figure 6(b) is derived from processed data that accounts for baseline corrections and spectral integration, making it more sensitive to subtle changes in molecular interaction and concentration. Therefore, while raw intensity variations may not appear significant in Figure 5(b), the absorbance calculation effectively reveals concentration-dependent trends consistent with the expected optical behavior.</w:t>
      </w:r>
    </w:p>
    <w:p w14:paraId="58BFD067" w14:textId="2D6880FD" w:rsidR="00694774" w:rsidRDefault="00694774" w:rsidP="00694774">
      <w:pPr>
        <w:pStyle w:val="IJNEAMParagraph"/>
      </w:pPr>
    </w:p>
    <w:p w14:paraId="10F7132B" w14:textId="722035E0" w:rsidR="00694774" w:rsidRDefault="00694774" w:rsidP="00694774">
      <w:pPr>
        <w:pStyle w:val="IJNEAMParagraph"/>
        <w:jc w:val="center"/>
      </w:pPr>
      <w:r>
        <w:rPr>
          <w:rFonts w:asciiTheme="minorBidi" w:hAnsiTheme="minorBidi" w:cstheme="minorBidi"/>
          <w:noProof/>
        </w:rPr>
        <w:drawing>
          <wp:inline distT="0" distB="0" distL="0" distR="0" wp14:anchorId="0DE75FC2" wp14:editId="00515889">
            <wp:extent cx="3104866" cy="2470943"/>
            <wp:effectExtent l="0" t="0" r="635" b="5715"/>
            <wp:docPr id="227089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l="2291" t="9728" r="12544" b="1735"/>
                    <a:stretch/>
                  </pic:blipFill>
                  <pic:spPr bwMode="auto">
                    <a:xfrm>
                      <a:off x="0" y="0"/>
                      <a:ext cx="3105666" cy="2471580"/>
                    </a:xfrm>
                    <a:prstGeom prst="rect">
                      <a:avLst/>
                    </a:prstGeom>
                    <a:noFill/>
                    <a:ln>
                      <a:noFill/>
                    </a:ln>
                    <a:extLst>
                      <a:ext uri="{53640926-AAD7-44D8-BBD7-CCE9431645EC}">
                        <a14:shadowObscured xmlns:a14="http://schemas.microsoft.com/office/drawing/2010/main"/>
                      </a:ext>
                    </a:extLst>
                  </pic:spPr>
                </pic:pic>
              </a:graphicData>
            </a:graphic>
          </wp:inline>
        </w:drawing>
      </w:r>
      <w:r>
        <w:t>(a)</w:t>
      </w:r>
    </w:p>
    <w:p w14:paraId="60D1553F" w14:textId="73290A96" w:rsidR="00694774" w:rsidRDefault="00694774" w:rsidP="00694774">
      <w:pPr>
        <w:pStyle w:val="IJNEAMParagraph"/>
        <w:jc w:val="center"/>
      </w:pPr>
      <w:r w:rsidRPr="00665F9A">
        <w:rPr>
          <w:noProof/>
        </w:rPr>
        <w:lastRenderedPageBreak/>
        <w:drawing>
          <wp:inline distT="0" distB="0" distL="0" distR="0" wp14:anchorId="0AC18F4C" wp14:editId="3EA3110E">
            <wp:extent cx="3099721" cy="2422478"/>
            <wp:effectExtent l="0" t="0" r="5715" b="0"/>
            <wp:docPr id="1902011732" name="Picture 1" descr="A graph of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11732" name="Picture 1" descr="A graph of a blue line&#10;&#10;Description automatically generated"/>
                    <pic:cNvPicPr/>
                  </pic:nvPicPr>
                  <pic:blipFill rotWithShape="1">
                    <a:blip r:embed="rId23"/>
                    <a:srcRect l="2047" t="10454" r="12720" b="2527"/>
                    <a:stretch/>
                  </pic:blipFill>
                  <pic:spPr bwMode="auto">
                    <a:xfrm>
                      <a:off x="0" y="0"/>
                      <a:ext cx="3110610" cy="2430988"/>
                    </a:xfrm>
                    <a:prstGeom prst="rect">
                      <a:avLst/>
                    </a:prstGeom>
                    <a:ln>
                      <a:noFill/>
                    </a:ln>
                    <a:extLst>
                      <a:ext uri="{53640926-AAD7-44D8-BBD7-CCE9431645EC}">
                        <a14:shadowObscured xmlns:a14="http://schemas.microsoft.com/office/drawing/2010/main"/>
                      </a:ext>
                    </a:extLst>
                  </pic:spPr>
                </pic:pic>
              </a:graphicData>
            </a:graphic>
          </wp:inline>
        </w:drawing>
      </w:r>
      <w:r>
        <w:t>(b)</w:t>
      </w:r>
      <w:r w:rsidRPr="00CC5636">
        <w:rPr>
          <w:b/>
          <w:bCs/>
          <w:noProof/>
        </w:rPr>
        <w:drawing>
          <wp:inline distT="0" distB="0" distL="0" distR="0" wp14:anchorId="254904E6" wp14:editId="6D223580">
            <wp:extent cx="3208655" cy="2644140"/>
            <wp:effectExtent l="0" t="0" r="0" b="3810"/>
            <wp:docPr id="1493724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24713" name=""/>
                    <pic:cNvPicPr/>
                  </pic:nvPicPr>
                  <pic:blipFill rotWithShape="1">
                    <a:blip r:embed="rId24"/>
                    <a:srcRect l="4093" t="8752" r="13277" b="2284"/>
                    <a:stretch/>
                  </pic:blipFill>
                  <pic:spPr bwMode="auto">
                    <a:xfrm>
                      <a:off x="0" y="0"/>
                      <a:ext cx="3208655" cy="2644140"/>
                    </a:xfrm>
                    <a:prstGeom prst="rect">
                      <a:avLst/>
                    </a:prstGeom>
                    <a:ln>
                      <a:noFill/>
                    </a:ln>
                    <a:extLst>
                      <a:ext uri="{53640926-AAD7-44D8-BBD7-CCE9431645EC}">
                        <a14:shadowObscured xmlns:a14="http://schemas.microsoft.com/office/drawing/2010/main"/>
                      </a:ext>
                    </a:extLst>
                  </pic:spPr>
                </pic:pic>
              </a:graphicData>
            </a:graphic>
          </wp:inline>
        </w:drawing>
      </w:r>
      <w:r>
        <w:t>(c)</w:t>
      </w:r>
    </w:p>
    <w:p w14:paraId="1AD26FD6" w14:textId="77777777" w:rsidR="00694774" w:rsidRPr="00CC5636" w:rsidRDefault="00694774" w:rsidP="00694774">
      <w:pPr>
        <w:pStyle w:val="IJNEAMFigureCaption"/>
      </w:pPr>
      <w:r w:rsidRPr="00D56FB6">
        <w:rPr>
          <w:b/>
          <w:bCs/>
        </w:rPr>
        <w:t xml:space="preserve">Figure </w:t>
      </w:r>
      <w:r w:rsidRPr="00D56FB6">
        <w:rPr>
          <w:b/>
          <w:bCs/>
        </w:rPr>
        <w:fldChar w:fldCharType="begin"/>
      </w:r>
      <w:r w:rsidRPr="00D56FB6">
        <w:rPr>
          <w:b/>
          <w:bCs/>
        </w:rPr>
        <w:instrText xml:space="preserve"> SEQ Figure \* ARABIC </w:instrText>
      </w:r>
      <w:r w:rsidRPr="00D56FB6">
        <w:rPr>
          <w:b/>
          <w:bCs/>
        </w:rPr>
        <w:fldChar w:fldCharType="separate"/>
      </w:r>
      <w:r>
        <w:rPr>
          <w:b/>
          <w:bCs/>
          <w:noProof/>
        </w:rPr>
        <w:t>5</w:t>
      </w:r>
      <w:r w:rsidRPr="00D56FB6">
        <w:rPr>
          <w:b/>
          <w:bCs/>
        </w:rPr>
        <w:fldChar w:fldCharType="end"/>
      </w:r>
      <w:r w:rsidRPr="00CC5636">
        <w:t xml:space="preserve">. Light intensity value for UV-VIS-NIR </w:t>
      </w:r>
      <w:r w:rsidRPr="00BD0183">
        <w:t>wavelength</w:t>
      </w:r>
      <w:r w:rsidRPr="00CC5636">
        <w:t xml:space="preserve"> using (a) cuvette; (b) tapered optical fiber and (c) changes in light intensity value for UV-VIS-NIR wavelength using biofunctionalized tapered optical fiber</w:t>
      </w:r>
    </w:p>
    <w:p w14:paraId="7833A624" w14:textId="71987F2C" w:rsidR="00B12305" w:rsidRDefault="0029191E" w:rsidP="006749C6">
      <w:pPr>
        <w:pStyle w:val="IJNEAMParagraph"/>
        <w:jc w:val="center"/>
      </w:pPr>
      <w:r w:rsidRPr="0007793B">
        <w:rPr>
          <w:b/>
          <w:bCs/>
          <w:noProof/>
        </w:rPr>
        <w:drawing>
          <wp:inline distT="0" distB="0" distL="0" distR="0" wp14:anchorId="289D74E7" wp14:editId="5AB91337">
            <wp:extent cx="3104147" cy="2652825"/>
            <wp:effectExtent l="0" t="0" r="1270" b="0"/>
            <wp:docPr id="734924698" name="Picture 1" descr="A graph of a number of different types of substanc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24698" name="Picture 1" descr="A graph of a number of different types of substances&#10;&#10;Description automatically generated with medium confidence"/>
                    <pic:cNvPicPr/>
                  </pic:nvPicPr>
                  <pic:blipFill rotWithShape="1">
                    <a:blip r:embed="rId25"/>
                    <a:srcRect l="7273" t="9173" r="13347" b="2214"/>
                    <a:stretch/>
                  </pic:blipFill>
                  <pic:spPr bwMode="auto">
                    <a:xfrm>
                      <a:off x="0" y="0"/>
                      <a:ext cx="3113991" cy="2661237"/>
                    </a:xfrm>
                    <a:prstGeom prst="rect">
                      <a:avLst/>
                    </a:prstGeom>
                    <a:ln>
                      <a:noFill/>
                    </a:ln>
                    <a:extLst>
                      <a:ext uri="{53640926-AAD7-44D8-BBD7-CCE9431645EC}">
                        <a14:shadowObscured xmlns:a14="http://schemas.microsoft.com/office/drawing/2010/main"/>
                      </a:ext>
                    </a:extLst>
                  </pic:spPr>
                </pic:pic>
              </a:graphicData>
            </a:graphic>
          </wp:inline>
        </w:drawing>
      </w:r>
      <w:r w:rsidR="00B12305">
        <w:t>(a)</w:t>
      </w:r>
    </w:p>
    <w:p w14:paraId="6E0FC843" w14:textId="3B36B25B" w:rsidR="00B12305" w:rsidRDefault="0073083E" w:rsidP="006749C6">
      <w:pPr>
        <w:pStyle w:val="IJNEAMParagraph"/>
        <w:jc w:val="center"/>
      </w:pPr>
      <w:r>
        <w:rPr>
          <w:b/>
          <w:bCs/>
          <w:noProof/>
        </w:rPr>
        <w:drawing>
          <wp:inline distT="0" distB="0" distL="0" distR="0" wp14:anchorId="55AB4D83" wp14:editId="64FD621D">
            <wp:extent cx="3089108" cy="2346158"/>
            <wp:effectExtent l="0" t="0" r="0" b="0"/>
            <wp:docPr id="698184160" name="Picture 3" descr="A graph of a number of different types of substanc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184160" name="Picture 3" descr="A graph of a number of different types of substances&#10;&#10;Description automatically generated with medium confidenc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109" t="10299" r="7155" b="2659"/>
                    <a:stretch/>
                  </pic:blipFill>
                  <pic:spPr bwMode="auto">
                    <a:xfrm>
                      <a:off x="0" y="0"/>
                      <a:ext cx="3135442" cy="2381348"/>
                    </a:xfrm>
                    <a:prstGeom prst="rect">
                      <a:avLst/>
                    </a:prstGeom>
                    <a:noFill/>
                    <a:ln>
                      <a:noFill/>
                    </a:ln>
                    <a:extLst>
                      <a:ext uri="{53640926-AAD7-44D8-BBD7-CCE9431645EC}">
                        <a14:shadowObscured xmlns:a14="http://schemas.microsoft.com/office/drawing/2010/main"/>
                      </a:ext>
                    </a:extLst>
                  </pic:spPr>
                </pic:pic>
              </a:graphicData>
            </a:graphic>
          </wp:inline>
        </w:drawing>
      </w:r>
      <w:r w:rsidR="00B12305">
        <w:t>(</w:t>
      </w:r>
      <w:r w:rsidR="00BC1B05">
        <w:t>b</w:t>
      </w:r>
      <w:r w:rsidR="00B12305">
        <w:t>)</w:t>
      </w:r>
    </w:p>
    <w:p w14:paraId="115E62CF" w14:textId="7E734527" w:rsidR="00BC1B05" w:rsidRDefault="00B62397" w:rsidP="006749C6">
      <w:pPr>
        <w:pStyle w:val="IJNEAMParagraph"/>
        <w:jc w:val="center"/>
      </w:pPr>
      <w:r w:rsidRPr="00B2242D">
        <w:rPr>
          <w:b/>
          <w:bCs/>
          <w:noProof/>
        </w:rPr>
        <w:drawing>
          <wp:inline distT="0" distB="0" distL="0" distR="0" wp14:anchorId="685AA3C6" wp14:editId="7849CF93">
            <wp:extent cx="3168713" cy="2552911"/>
            <wp:effectExtent l="0" t="0" r="0" b="0"/>
            <wp:docPr id="520738265" name="Picture 1" descr="A graph of a number of different types of wa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38265" name="Picture 1" descr="A graph of a number of different types of waves&#10;&#10;Description automatically generated with medium confidence"/>
                    <pic:cNvPicPr/>
                  </pic:nvPicPr>
                  <pic:blipFill rotWithShape="1">
                    <a:blip r:embed="rId27"/>
                    <a:srcRect l="7022" t="10320" r="12349" b="4827"/>
                    <a:stretch/>
                  </pic:blipFill>
                  <pic:spPr bwMode="auto">
                    <a:xfrm>
                      <a:off x="0" y="0"/>
                      <a:ext cx="3216691" cy="2591565"/>
                    </a:xfrm>
                    <a:prstGeom prst="rect">
                      <a:avLst/>
                    </a:prstGeom>
                    <a:ln>
                      <a:noFill/>
                    </a:ln>
                    <a:extLst>
                      <a:ext uri="{53640926-AAD7-44D8-BBD7-CCE9431645EC}">
                        <a14:shadowObscured xmlns:a14="http://schemas.microsoft.com/office/drawing/2010/main"/>
                      </a:ext>
                    </a:extLst>
                  </pic:spPr>
                </pic:pic>
              </a:graphicData>
            </a:graphic>
          </wp:inline>
        </w:drawing>
      </w:r>
      <w:r w:rsidR="00BC1B05">
        <w:t>(c)</w:t>
      </w:r>
    </w:p>
    <w:p w14:paraId="52FBFA39" w14:textId="34322BE8" w:rsidR="00242714" w:rsidRDefault="00242714" w:rsidP="00242714">
      <w:pPr>
        <w:pStyle w:val="IJNEAMFigureCaption"/>
      </w:pPr>
      <w:r w:rsidRPr="009C4BAC">
        <w:rPr>
          <w:b/>
          <w:bCs/>
        </w:rPr>
        <w:t xml:space="preserve">Figure </w:t>
      </w:r>
      <w:r w:rsidRPr="009C4BAC">
        <w:rPr>
          <w:b/>
          <w:bCs/>
        </w:rPr>
        <w:fldChar w:fldCharType="begin"/>
      </w:r>
      <w:r w:rsidRPr="009C4BAC">
        <w:rPr>
          <w:b/>
          <w:bCs/>
        </w:rPr>
        <w:instrText xml:space="preserve"> SEQ Figure \* ARABIC </w:instrText>
      </w:r>
      <w:r w:rsidRPr="009C4BAC">
        <w:rPr>
          <w:b/>
          <w:bCs/>
        </w:rPr>
        <w:fldChar w:fldCharType="separate"/>
      </w:r>
      <w:r w:rsidR="002F2253">
        <w:rPr>
          <w:b/>
          <w:bCs/>
          <w:noProof/>
        </w:rPr>
        <w:t>6</w:t>
      </w:r>
      <w:r w:rsidRPr="009C4BAC">
        <w:rPr>
          <w:b/>
          <w:bCs/>
        </w:rPr>
        <w:fldChar w:fldCharType="end"/>
      </w:r>
      <w:r>
        <w:t>. Absorbance value</w:t>
      </w:r>
      <w:r w:rsidRPr="00390EDF">
        <w:t xml:space="preserve"> for UV-VIS-NIR wavelength using (a) cuvette; (b) </w:t>
      </w:r>
      <w:r w:rsidR="00D60E4E" w:rsidRPr="00E04F7A">
        <w:rPr>
          <w:color w:val="000000" w:themeColor="text1"/>
        </w:rPr>
        <w:t xml:space="preserve">non-bio functionalized </w:t>
      </w:r>
      <w:r w:rsidRPr="00E04F7A">
        <w:rPr>
          <w:color w:val="000000" w:themeColor="text1"/>
        </w:rPr>
        <w:t>tapered optical fiber and (c) bio</w:t>
      </w:r>
      <w:r w:rsidR="00D60E4E" w:rsidRPr="00E04F7A">
        <w:rPr>
          <w:color w:val="000000" w:themeColor="text1"/>
        </w:rPr>
        <w:t xml:space="preserve"> </w:t>
      </w:r>
      <w:r w:rsidRPr="00E04F7A">
        <w:rPr>
          <w:color w:val="000000" w:themeColor="text1"/>
        </w:rPr>
        <w:t xml:space="preserve">functionalized tapered optical </w:t>
      </w:r>
      <w:r w:rsidRPr="00390EDF">
        <w:t>fiber</w:t>
      </w:r>
    </w:p>
    <w:p w14:paraId="692D05B6" w14:textId="77777777" w:rsidR="00017F0C" w:rsidRDefault="00017F0C" w:rsidP="00242714">
      <w:pPr>
        <w:pStyle w:val="IJNEAMFigureCaption"/>
      </w:pPr>
    </w:p>
    <w:bookmarkEnd w:id="0"/>
    <w:p w14:paraId="1D9D5516" w14:textId="79FB4074" w:rsidR="009E345D" w:rsidRDefault="00612D05">
      <w:pPr>
        <w:pStyle w:val="Heading1"/>
      </w:pPr>
      <w:r w:rsidRPr="00612D05">
        <w:t>DISCUSSION AND RESULTS</w:t>
      </w:r>
    </w:p>
    <w:p w14:paraId="36E4ACE9" w14:textId="517B7BCD" w:rsidR="00612D05" w:rsidRDefault="0021519C" w:rsidP="00612D05">
      <w:pPr>
        <w:pStyle w:val="Heading2"/>
      </w:pPr>
      <w:r>
        <w:t>Comparative Analysis of Various BSA Detection</w:t>
      </w:r>
    </w:p>
    <w:p w14:paraId="706DE9E9" w14:textId="32240116" w:rsidR="002A4B8D" w:rsidRDefault="00334C44" w:rsidP="00875635">
      <w:pPr>
        <w:rPr>
          <w:lang w:val="x-none" w:eastAsia="x-none"/>
        </w:rPr>
      </w:pPr>
      <w:r w:rsidRPr="00334C44">
        <w:rPr>
          <w:lang w:val="x-none" w:eastAsia="x-none"/>
        </w:rPr>
        <w:t>Table 1 provides a concise summary of the key findings in spectrum intensity and absorbance, offering a clear overview of the critical data points that underpin this study's analysis.</w:t>
      </w:r>
    </w:p>
    <w:p w14:paraId="06B89434" w14:textId="77777777" w:rsidR="00A64A8A" w:rsidRDefault="00A64A8A" w:rsidP="00242714">
      <w:pPr>
        <w:rPr>
          <w:lang w:val="x-none" w:eastAsia="x-none"/>
        </w:rPr>
      </w:pPr>
    </w:p>
    <w:p w14:paraId="40F0A9AA" w14:textId="10F5A6C8" w:rsidR="002E24F9" w:rsidRDefault="002E24F9" w:rsidP="002E24F9">
      <w:pPr>
        <w:pStyle w:val="IJNEAMTableCaption"/>
      </w:pPr>
      <w:r w:rsidRPr="008C3F6F">
        <w:rPr>
          <w:b/>
          <w:bCs/>
        </w:rPr>
        <w:t xml:space="preserve">Table </w:t>
      </w:r>
      <w:r w:rsidRPr="008C3F6F">
        <w:rPr>
          <w:b/>
          <w:bCs/>
        </w:rPr>
        <w:fldChar w:fldCharType="begin"/>
      </w:r>
      <w:r w:rsidRPr="008C3F6F">
        <w:rPr>
          <w:b/>
          <w:bCs/>
        </w:rPr>
        <w:instrText xml:space="preserve"> SEQ Table \* ARABIC </w:instrText>
      </w:r>
      <w:r w:rsidRPr="008C3F6F">
        <w:rPr>
          <w:b/>
          <w:bCs/>
        </w:rPr>
        <w:fldChar w:fldCharType="separate"/>
      </w:r>
      <w:r w:rsidR="002F2253">
        <w:rPr>
          <w:b/>
          <w:bCs/>
          <w:noProof/>
        </w:rPr>
        <w:t>1</w:t>
      </w:r>
      <w:r w:rsidRPr="008C3F6F">
        <w:rPr>
          <w:b/>
          <w:bCs/>
        </w:rPr>
        <w:fldChar w:fldCharType="end"/>
      </w:r>
      <w:r w:rsidR="008C3F6F" w:rsidRPr="008C3F6F">
        <w:t xml:space="preserve"> Comparative Analysis of Various BSA Detection</w:t>
      </w:r>
    </w:p>
    <w:p w14:paraId="74B6CE2E" w14:textId="77777777" w:rsidR="00EF6389" w:rsidRDefault="00EF6389" w:rsidP="002E24F9">
      <w:pPr>
        <w:pStyle w:val="IJNEAMTableCaption"/>
      </w:pPr>
    </w:p>
    <w:tbl>
      <w:tblPr>
        <w:tblW w:w="4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1417"/>
        <w:gridCol w:w="1559"/>
        <w:gridCol w:w="11"/>
      </w:tblGrid>
      <w:tr w:rsidR="00E04F7A" w:rsidRPr="00E04F7A" w14:paraId="454B8574" w14:textId="77777777" w:rsidTr="002A4B8D">
        <w:trPr>
          <w:gridAfter w:val="1"/>
          <w:wAfter w:w="11" w:type="dxa"/>
          <w:jc w:val="center"/>
        </w:trPr>
        <w:tc>
          <w:tcPr>
            <w:tcW w:w="704" w:type="dxa"/>
          </w:tcPr>
          <w:p w14:paraId="4ADE91B5" w14:textId="67054A98" w:rsidR="00570F6B" w:rsidRPr="00E04F7A" w:rsidRDefault="006F7D66" w:rsidP="00371E4E">
            <w:pPr>
              <w:pStyle w:val="IJNEAMParagraph"/>
              <w:spacing w:after="0"/>
              <w:jc w:val="center"/>
              <w:rPr>
                <w:rFonts w:eastAsia="Calibri"/>
                <w:b/>
                <w:bCs/>
                <w:color w:val="000000" w:themeColor="text1"/>
                <w:sz w:val="15"/>
                <w:szCs w:val="15"/>
                <w:lang w:val="en-MY"/>
              </w:rPr>
            </w:pPr>
            <w:r w:rsidRPr="00E04F7A">
              <w:rPr>
                <w:rFonts w:eastAsia="Calibri"/>
                <w:b/>
                <w:bCs/>
                <w:color w:val="000000" w:themeColor="text1"/>
                <w:sz w:val="15"/>
                <w:szCs w:val="15"/>
                <w:lang w:val="en-MY"/>
              </w:rPr>
              <w:t>RANGE</w:t>
            </w:r>
          </w:p>
        </w:tc>
        <w:tc>
          <w:tcPr>
            <w:tcW w:w="1276" w:type="dxa"/>
          </w:tcPr>
          <w:p w14:paraId="57889E0D" w14:textId="46B48E50" w:rsidR="00570F6B" w:rsidRPr="00E04F7A" w:rsidRDefault="006F7D66" w:rsidP="00371E4E">
            <w:pPr>
              <w:pStyle w:val="IJNEAMParagraph"/>
              <w:spacing w:after="0"/>
              <w:jc w:val="center"/>
              <w:rPr>
                <w:rFonts w:eastAsia="Calibri"/>
                <w:b/>
                <w:bCs/>
                <w:color w:val="000000" w:themeColor="text1"/>
                <w:sz w:val="15"/>
                <w:szCs w:val="15"/>
                <w:lang w:val="en-MY"/>
              </w:rPr>
            </w:pPr>
            <w:r w:rsidRPr="00E04F7A">
              <w:rPr>
                <w:rFonts w:eastAsia="Calibri"/>
                <w:b/>
                <w:bCs/>
                <w:color w:val="000000" w:themeColor="text1"/>
                <w:sz w:val="15"/>
                <w:szCs w:val="15"/>
                <w:lang w:val="en-MY"/>
              </w:rPr>
              <w:t>CUVETTE</w:t>
            </w:r>
          </w:p>
        </w:tc>
        <w:tc>
          <w:tcPr>
            <w:tcW w:w="1417" w:type="dxa"/>
          </w:tcPr>
          <w:p w14:paraId="2F2435A3" w14:textId="2C7E6BF8" w:rsidR="00570F6B" w:rsidRPr="00E04F7A" w:rsidRDefault="009E56D6" w:rsidP="00371E4E">
            <w:pPr>
              <w:pStyle w:val="IJNEAMParagraph"/>
              <w:spacing w:after="0"/>
              <w:jc w:val="center"/>
              <w:rPr>
                <w:rFonts w:eastAsia="Calibri"/>
                <w:b/>
                <w:bCs/>
                <w:color w:val="000000" w:themeColor="text1"/>
                <w:sz w:val="15"/>
                <w:szCs w:val="15"/>
                <w:lang w:val="en-MY"/>
              </w:rPr>
            </w:pPr>
            <w:r w:rsidRPr="00E04F7A">
              <w:rPr>
                <w:rFonts w:eastAsia="Calibri"/>
                <w:b/>
                <w:bCs/>
                <w:color w:val="000000" w:themeColor="text1"/>
                <w:sz w:val="15"/>
                <w:szCs w:val="15"/>
                <w:lang w:val="en-MY"/>
              </w:rPr>
              <w:t>NON-BIO FUCTIONALIZED</w:t>
            </w:r>
            <w:r w:rsidR="006F7D66" w:rsidRPr="00E04F7A">
              <w:rPr>
                <w:rFonts w:eastAsia="Calibri"/>
                <w:b/>
                <w:bCs/>
                <w:color w:val="000000" w:themeColor="text1"/>
                <w:sz w:val="15"/>
                <w:szCs w:val="15"/>
                <w:lang w:val="en-MY"/>
              </w:rPr>
              <w:t>TAPERED OPTICAL FIBER</w:t>
            </w:r>
          </w:p>
        </w:tc>
        <w:tc>
          <w:tcPr>
            <w:tcW w:w="1559" w:type="dxa"/>
          </w:tcPr>
          <w:p w14:paraId="1B2A6AAF" w14:textId="2C712C3B" w:rsidR="00570F6B" w:rsidRPr="00E04F7A" w:rsidRDefault="006F7D66" w:rsidP="00371E4E">
            <w:pPr>
              <w:pStyle w:val="IJNEAMParagraph"/>
              <w:spacing w:after="0"/>
              <w:jc w:val="center"/>
              <w:rPr>
                <w:rFonts w:eastAsia="Calibri"/>
                <w:b/>
                <w:bCs/>
                <w:color w:val="000000" w:themeColor="text1"/>
                <w:sz w:val="15"/>
                <w:szCs w:val="15"/>
                <w:lang w:val="en-MY"/>
              </w:rPr>
            </w:pPr>
            <w:r w:rsidRPr="00E04F7A">
              <w:rPr>
                <w:rFonts w:eastAsia="Calibri"/>
                <w:b/>
                <w:bCs/>
                <w:color w:val="000000" w:themeColor="text1"/>
                <w:sz w:val="15"/>
                <w:szCs w:val="15"/>
                <w:lang w:val="en-MY"/>
              </w:rPr>
              <w:t>BIO</w:t>
            </w:r>
            <w:r w:rsidR="002A4B8D" w:rsidRPr="00E04F7A">
              <w:rPr>
                <w:rFonts w:eastAsia="Calibri"/>
                <w:b/>
                <w:bCs/>
                <w:color w:val="000000" w:themeColor="text1"/>
                <w:sz w:val="15"/>
                <w:szCs w:val="15"/>
                <w:lang w:val="en-MY"/>
              </w:rPr>
              <w:t xml:space="preserve"> </w:t>
            </w:r>
            <w:r w:rsidRPr="00E04F7A">
              <w:rPr>
                <w:rFonts w:eastAsia="Calibri"/>
                <w:b/>
                <w:bCs/>
                <w:color w:val="000000" w:themeColor="text1"/>
                <w:sz w:val="15"/>
                <w:szCs w:val="15"/>
                <w:lang w:val="en-MY"/>
              </w:rPr>
              <w:t>FUNCTIONALIZED TAPERED OPTICAL FIBER</w:t>
            </w:r>
          </w:p>
        </w:tc>
      </w:tr>
      <w:tr w:rsidR="00E04F7A" w:rsidRPr="00E04F7A" w14:paraId="56FC0463" w14:textId="77777777" w:rsidTr="00303C5D">
        <w:trPr>
          <w:jc w:val="center"/>
        </w:trPr>
        <w:tc>
          <w:tcPr>
            <w:tcW w:w="4967" w:type="dxa"/>
            <w:gridSpan w:val="5"/>
          </w:tcPr>
          <w:p w14:paraId="7D4B90B9" w14:textId="77777777" w:rsidR="00570F6B" w:rsidRPr="00E04F7A" w:rsidRDefault="00570F6B" w:rsidP="00A9402F">
            <w:pPr>
              <w:pStyle w:val="IJNEAMParagraph"/>
              <w:spacing w:after="0"/>
              <w:jc w:val="center"/>
              <w:rPr>
                <w:rFonts w:eastAsia="Calibri"/>
                <w:noProof/>
                <w:color w:val="000000" w:themeColor="text1"/>
                <w:sz w:val="15"/>
                <w:szCs w:val="15"/>
              </w:rPr>
            </w:pPr>
            <w:r w:rsidRPr="00E04F7A">
              <w:rPr>
                <w:rFonts w:eastAsia="Calibri"/>
                <w:noProof/>
                <w:color w:val="000000" w:themeColor="text1"/>
                <w:sz w:val="15"/>
                <w:szCs w:val="15"/>
              </w:rPr>
              <w:t>Intensity</w:t>
            </w:r>
          </w:p>
        </w:tc>
      </w:tr>
      <w:tr w:rsidR="00E04F7A" w:rsidRPr="00E04F7A" w14:paraId="6F529F6B" w14:textId="77777777" w:rsidTr="002A4B8D">
        <w:trPr>
          <w:gridAfter w:val="1"/>
          <w:wAfter w:w="11" w:type="dxa"/>
          <w:jc w:val="center"/>
        </w:trPr>
        <w:tc>
          <w:tcPr>
            <w:tcW w:w="704" w:type="dxa"/>
          </w:tcPr>
          <w:p w14:paraId="057A2516" w14:textId="489EE853" w:rsidR="009E56D6" w:rsidRPr="00E04F7A" w:rsidRDefault="009E56D6" w:rsidP="002E4642">
            <w:pPr>
              <w:pStyle w:val="IJNEAMParagraph"/>
              <w:spacing w:after="0"/>
              <w:rPr>
                <w:rFonts w:eastAsia="Calibri"/>
                <w:color w:val="000000" w:themeColor="text1"/>
                <w:sz w:val="15"/>
                <w:szCs w:val="15"/>
                <w:lang w:val="en-MY"/>
              </w:rPr>
            </w:pPr>
            <w:r w:rsidRPr="00E04F7A">
              <w:rPr>
                <w:rFonts w:eastAsia="Calibri"/>
                <w:color w:val="000000" w:themeColor="text1"/>
                <w:sz w:val="15"/>
                <w:szCs w:val="15"/>
                <w:lang w:val="en-MY"/>
              </w:rPr>
              <w:t>UV</w:t>
            </w:r>
            <w:r w:rsidRPr="00E04F7A">
              <w:rPr>
                <w:rFonts w:eastAsia="Calibri"/>
                <w:color w:val="000000" w:themeColor="text1"/>
                <w:sz w:val="15"/>
                <w:szCs w:val="15"/>
                <w:lang w:val="en-MY"/>
              </w:rPr>
              <w:br/>
              <w:t>189-380 nm</w:t>
            </w:r>
          </w:p>
        </w:tc>
        <w:tc>
          <w:tcPr>
            <w:tcW w:w="1276" w:type="dxa"/>
          </w:tcPr>
          <w:p w14:paraId="39D2F4C3" w14:textId="77777777" w:rsidR="009E56D6" w:rsidRPr="00E04F7A" w:rsidRDefault="009E56D6" w:rsidP="00AD62AB">
            <w:pPr>
              <w:pStyle w:val="IJNEAMParagraph"/>
              <w:numPr>
                <w:ilvl w:val="0"/>
                <w:numId w:val="22"/>
              </w:numPr>
              <w:spacing w:after="0"/>
              <w:ind w:left="178" w:hanging="178"/>
              <w:rPr>
                <w:rFonts w:eastAsia="Calibri"/>
                <w:color w:val="000000" w:themeColor="text1"/>
                <w:sz w:val="15"/>
                <w:szCs w:val="15"/>
              </w:rPr>
            </w:pPr>
            <w:r w:rsidRPr="00E04F7A">
              <w:rPr>
                <w:rFonts w:eastAsia="Calibri"/>
                <w:color w:val="000000" w:themeColor="text1"/>
                <w:sz w:val="15"/>
                <w:szCs w:val="15"/>
              </w:rPr>
              <w:t>Low intensity</w:t>
            </w:r>
          </w:p>
          <w:p w14:paraId="39ED82C0" w14:textId="78201800" w:rsidR="009E56D6" w:rsidRPr="00E04F7A" w:rsidRDefault="009E56D6" w:rsidP="00AD62AB">
            <w:pPr>
              <w:pStyle w:val="IJNEAMParagraph"/>
              <w:numPr>
                <w:ilvl w:val="0"/>
                <w:numId w:val="22"/>
              </w:numPr>
              <w:spacing w:after="0"/>
              <w:ind w:left="178" w:hanging="178"/>
              <w:rPr>
                <w:rFonts w:eastAsia="Calibri"/>
                <w:color w:val="000000" w:themeColor="text1"/>
                <w:sz w:val="15"/>
                <w:szCs w:val="15"/>
              </w:rPr>
            </w:pPr>
            <w:r w:rsidRPr="00E04F7A">
              <w:rPr>
                <w:rFonts w:eastAsia="Calibri"/>
                <w:color w:val="000000" w:themeColor="text1"/>
                <w:sz w:val="15"/>
                <w:szCs w:val="15"/>
              </w:rPr>
              <w:t>Highest peak</w:t>
            </w:r>
            <w:r w:rsidR="00AD62AB" w:rsidRPr="00E04F7A">
              <w:rPr>
                <w:rFonts w:eastAsia="Calibri"/>
                <w:color w:val="000000" w:themeColor="text1"/>
                <w:sz w:val="15"/>
                <w:szCs w:val="15"/>
              </w:rPr>
              <w:t xml:space="preserve">: </w:t>
            </w:r>
            <w:r w:rsidRPr="00E04F7A">
              <w:rPr>
                <w:rFonts w:eastAsia="Calibri"/>
                <w:color w:val="000000" w:themeColor="text1"/>
                <w:sz w:val="15"/>
                <w:szCs w:val="15"/>
              </w:rPr>
              <w:t>236 nn</w:t>
            </w:r>
          </w:p>
        </w:tc>
        <w:tc>
          <w:tcPr>
            <w:tcW w:w="1417" w:type="dxa"/>
          </w:tcPr>
          <w:p w14:paraId="50810C2F" w14:textId="73F0F52B" w:rsidR="007203D6" w:rsidRPr="00E04F7A" w:rsidRDefault="007203D6" w:rsidP="00AD62AB">
            <w:pPr>
              <w:pStyle w:val="IJNEAMParagraph"/>
              <w:numPr>
                <w:ilvl w:val="0"/>
                <w:numId w:val="22"/>
              </w:numPr>
              <w:spacing w:after="0"/>
              <w:ind w:left="178" w:hanging="178"/>
              <w:rPr>
                <w:rFonts w:eastAsia="Calibri"/>
                <w:color w:val="000000" w:themeColor="text1"/>
                <w:sz w:val="15"/>
                <w:szCs w:val="15"/>
              </w:rPr>
            </w:pPr>
            <w:r w:rsidRPr="00E04F7A">
              <w:rPr>
                <w:rFonts w:eastAsia="Calibri"/>
                <w:color w:val="000000" w:themeColor="text1"/>
                <w:sz w:val="15"/>
                <w:szCs w:val="15"/>
              </w:rPr>
              <w:t>189-220nm</w:t>
            </w:r>
            <w:r w:rsidR="00AD62AB" w:rsidRPr="00E04F7A">
              <w:rPr>
                <w:rFonts w:eastAsia="Calibri"/>
                <w:color w:val="000000" w:themeColor="text1"/>
                <w:sz w:val="15"/>
                <w:szCs w:val="15"/>
              </w:rPr>
              <w:t xml:space="preserve">: </w:t>
            </w:r>
            <w:r w:rsidRPr="00E04F7A">
              <w:rPr>
                <w:rFonts w:eastAsia="Calibri"/>
                <w:color w:val="000000" w:themeColor="text1"/>
                <w:sz w:val="15"/>
                <w:szCs w:val="15"/>
              </w:rPr>
              <w:t>rapid increment</w:t>
            </w:r>
          </w:p>
          <w:p w14:paraId="67BDDDB5" w14:textId="5F2D1128" w:rsidR="009E56D6" w:rsidRPr="00E04F7A" w:rsidRDefault="00AD62AB" w:rsidP="00AD62AB">
            <w:pPr>
              <w:pStyle w:val="IJNEAMParagraph"/>
              <w:numPr>
                <w:ilvl w:val="0"/>
                <w:numId w:val="22"/>
              </w:numPr>
              <w:spacing w:after="0"/>
              <w:ind w:left="178" w:hanging="178"/>
              <w:rPr>
                <w:rFonts w:eastAsia="Calibri"/>
                <w:color w:val="000000" w:themeColor="text1"/>
                <w:sz w:val="15"/>
                <w:szCs w:val="15"/>
              </w:rPr>
            </w:pPr>
            <w:r w:rsidRPr="00E04F7A">
              <w:rPr>
                <w:rFonts w:eastAsia="Calibri"/>
                <w:color w:val="000000" w:themeColor="text1"/>
                <w:sz w:val="15"/>
                <w:szCs w:val="15"/>
              </w:rPr>
              <w:t xml:space="preserve">220-340 nm: </w:t>
            </w:r>
            <w:r w:rsidR="00B417D4" w:rsidRPr="00E04F7A">
              <w:rPr>
                <w:rFonts w:eastAsia="Calibri"/>
                <w:color w:val="000000" w:themeColor="text1"/>
                <w:sz w:val="15"/>
                <w:szCs w:val="15"/>
              </w:rPr>
              <w:t>Rises gradua</w:t>
            </w:r>
            <w:r w:rsidR="007203D6" w:rsidRPr="00E04F7A">
              <w:rPr>
                <w:rFonts w:eastAsia="Calibri"/>
                <w:color w:val="000000" w:themeColor="text1"/>
                <w:sz w:val="15"/>
                <w:szCs w:val="15"/>
              </w:rPr>
              <w:t>lly</w:t>
            </w:r>
          </w:p>
        </w:tc>
        <w:tc>
          <w:tcPr>
            <w:tcW w:w="1559" w:type="dxa"/>
          </w:tcPr>
          <w:p w14:paraId="3D226131" w14:textId="77777777" w:rsidR="009E56D6" w:rsidRPr="00E04F7A" w:rsidRDefault="00AD62AB" w:rsidP="0044473E">
            <w:pPr>
              <w:pStyle w:val="IJNEAMParagraph"/>
              <w:numPr>
                <w:ilvl w:val="0"/>
                <w:numId w:val="22"/>
              </w:numPr>
              <w:spacing w:after="0"/>
              <w:ind w:left="175" w:hanging="175"/>
              <w:rPr>
                <w:rFonts w:eastAsia="Calibri"/>
                <w:noProof/>
                <w:color w:val="000000" w:themeColor="text1"/>
                <w:sz w:val="15"/>
                <w:szCs w:val="15"/>
              </w:rPr>
            </w:pPr>
            <w:r w:rsidRPr="00E04F7A">
              <w:rPr>
                <w:rFonts w:eastAsia="Calibri"/>
                <w:noProof/>
                <w:color w:val="000000" w:themeColor="text1"/>
                <w:sz w:val="15"/>
                <w:szCs w:val="15"/>
              </w:rPr>
              <w:t>Noise</w:t>
            </w:r>
          </w:p>
          <w:p w14:paraId="79EF6069" w14:textId="72388BB5" w:rsidR="00AD62AB" w:rsidRPr="00E04F7A" w:rsidRDefault="00AD62AB" w:rsidP="0044473E">
            <w:pPr>
              <w:pStyle w:val="IJNEAMParagraph"/>
              <w:numPr>
                <w:ilvl w:val="0"/>
                <w:numId w:val="22"/>
              </w:numPr>
              <w:spacing w:after="0"/>
              <w:ind w:left="175" w:hanging="175"/>
              <w:rPr>
                <w:rFonts w:eastAsia="Calibri"/>
                <w:noProof/>
                <w:color w:val="000000" w:themeColor="text1"/>
                <w:sz w:val="15"/>
                <w:szCs w:val="15"/>
              </w:rPr>
            </w:pPr>
            <w:r w:rsidRPr="00E04F7A">
              <w:rPr>
                <w:rFonts w:eastAsia="Calibri"/>
                <w:noProof/>
                <w:color w:val="000000" w:themeColor="text1"/>
                <w:sz w:val="15"/>
                <w:szCs w:val="15"/>
              </w:rPr>
              <w:t>Highest concentrations = lowest intensity</w:t>
            </w:r>
          </w:p>
        </w:tc>
      </w:tr>
      <w:tr w:rsidR="00E04F7A" w:rsidRPr="00E04F7A" w14:paraId="4CD39B9F" w14:textId="77777777" w:rsidTr="002A4B8D">
        <w:trPr>
          <w:gridAfter w:val="1"/>
          <w:wAfter w:w="11" w:type="dxa"/>
          <w:jc w:val="center"/>
        </w:trPr>
        <w:tc>
          <w:tcPr>
            <w:tcW w:w="704" w:type="dxa"/>
          </w:tcPr>
          <w:p w14:paraId="63081A46" w14:textId="77777777" w:rsidR="00417A46" w:rsidRPr="00E04F7A" w:rsidRDefault="00417A46" w:rsidP="00417A46">
            <w:pPr>
              <w:pStyle w:val="IJNEAMParagraph"/>
              <w:spacing w:after="0"/>
              <w:rPr>
                <w:rFonts w:eastAsia="Calibri"/>
                <w:color w:val="000000" w:themeColor="text1"/>
                <w:sz w:val="15"/>
                <w:szCs w:val="15"/>
                <w:lang w:val="en-MY"/>
              </w:rPr>
            </w:pPr>
            <w:r w:rsidRPr="00E04F7A">
              <w:rPr>
                <w:rFonts w:eastAsia="Calibri"/>
                <w:color w:val="000000" w:themeColor="text1"/>
                <w:sz w:val="15"/>
                <w:szCs w:val="15"/>
                <w:lang w:val="en-MY"/>
              </w:rPr>
              <w:t xml:space="preserve">Visible </w:t>
            </w:r>
          </w:p>
          <w:p w14:paraId="26F4D990" w14:textId="78A9CD36" w:rsidR="00AD62AB" w:rsidRPr="00E04F7A" w:rsidRDefault="00417A46" w:rsidP="00417A46">
            <w:pPr>
              <w:pStyle w:val="IJNEAMParagraph"/>
              <w:spacing w:after="0"/>
              <w:rPr>
                <w:rFonts w:eastAsia="Calibri"/>
                <w:color w:val="000000" w:themeColor="text1"/>
                <w:sz w:val="15"/>
                <w:szCs w:val="15"/>
                <w:lang w:val="en-MY"/>
              </w:rPr>
            </w:pPr>
            <w:r w:rsidRPr="00E04F7A">
              <w:rPr>
                <w:rFonts w:eastAsia="Calibri"/>
                <w:color w:val="000000" w:themeColor="text1"/>
                <w:sz w:val="15"/>
                <w:szCs w:val="15"/>
                <w:lang w:val="en-MY"/>
              </w:rPr>
              <w:lastRenderedPageBreak/>
              <w:t>(380– 750 nm)</w:t>
            </w:r>
          </w:p>
        </w:tc>
        <w:tc>
          <w:tcPr>
            <w:tcW w:w="1276" w:type="dxa"/>
          </w:tcPr>
          <w:p w14:paraId="270FF2DA" w14:textId="2AC99FAF" w:rsidR="00AD62AB" w:rsidRPr="00E04F7A" w:rsidRDefault="00AD62AB" w:rsidP="00AD62AB">
            <w:pPr>
              <w:pStyle w:val="IJNEAMParagraph"/>
              <w:numPr>
                <w:ilvl w:val="0"/>
                <w:numId w:val="22"/>
              </w:numPr>
              <w:spacing w:after="0"/>
              <w:ind w:left="178" w:hanging="178"/>
              <w:rPr>
                <w:rFonts w:eastAsia="Calibri"/>
                <w:color w:val="000000" w:themeColor="text1"/>
                <w:sz w:val="15"/>
                <w:szCs w:val="15"/>
              </w:rPr>
            </w:pPr>
            <w:r w:rsidRPr="00E04F7A">
              <w:rPr>
                <w:rFonts w:eastAsia="Calibri"/>
                <w:color w:val="000000" w:themeColor="text1"/>
                <w:sz w:val="15"/>
                <w:szCs w:val="15"/>
              </w:rPr>
              <w:lastRenderedPageBreak/>
              <w:t xml:space="preserve">350-750 nm: gradually decreases </w:t>
            </w:r>
          </w:p>
          <w:p w14:paraId="1A4B3478" w14:textId="2B1FEA90" w:rsidR="00AD62AB" w:rsidRPr="00E04F7A" w:rsidRDefault="00AD62AB" w:rsidP="00AD62AB">
            <w:pPr>
              <w:pStyle w:val="IJNEAMParagraph"/>
              <w:numPr>
                <w:ilvl w:val="0"/>
                <w:numId w:val="22"/>
              </w:numPr>
              <w:spacing w:after="0"/>
              <w:ind w:left="178" w:hanging="178"/>
              <w:rPr>
                <w:rFonts w:eastAsia="Calibri"/>
                <w:color w:val="000000" w:themeColor="text1"/>
                <w:sz w:val="15"/>
                <w:szCs w:val="15"/>
              </w:rPr>
            </w:pPr>
            <w:r w:rsidRPr="00E04F7A">
              <w:rPr>
                <w:rFonts w:eastAsia="Calibri"/>
                <w:color w:val="000000" w:themeColor="text1"/>
                <w:sz w:val="15"/>
                <w:szCs w:val="15"/>
              </w:rPr>
              <w:lastRenderedPageBreak/>
              <w:t>Highest peak: 582 nm</w:t>
            </w:r>
          </w:p>
        </w:tc>
        <w:tc>
          <w:tcPr>
            <w:tcW w:w="1417" w:type="dxa"/>
          </w:tcPr>
          <w:p w14:paraId="3023C160" w14:textId="1138EDE7" w:rsidR="00417A46" w:rsidRPr="00E04F7A" w:rsidRDefault="00417A46" w:rsidP="00417A46">
            <w:pPr>
              <w:pStyle w:val="IJNEAMParagraph"/>
              <w:numPr>
                <w:ilvl w:val="0"/>
                <w:numId w:val="22"/>
              </w:numPr>
              <w:spacing w:after="0"/>
              <w:ind w:left="178" w:hanging="178"/>
              <w:rPr>
                <w:rFonts w:eastAsia="Calibri"/>
                <w:color w:val="000000" w:themeColor="text1"/>
                <w:sz w:val="15"/>
                <w:szCs w:val="15"/>
              </w:rPr>
            </w:pPr>
            <w:r w:rsidRPr="00E04F7A">
              <w:rPr>
                <w:rFonts w:eastAsia="Calibri"/>
                <w:color w:val="000000" w:themeColor="text1"/>
                <w:sz w:val="15"/>
                <w:szCs w:val="15"/>
              </w:rPr>
              <w:lastRenderedPageBreak/>
              <w:t>380-750 nm: rises steadily</w:t>
            </w:r>
          </w:p>
          <w:p w14:paraId="628464C6" w14:textId="237AD5F0" w:rsidR="00417A46" w:rsidRPr="00E04F7A" w:rsidRDefault="00417A46" w:rsidP="00417A46">
            <w:pPr>
              <w:pStyle w:val="IJNEAMParagraph"/>
              <w:numPr>
                <w:ilvl w:val="0"/>
                <w:numId w:val="22"/>
              </w:numPr>
              <w:spacing w:after="0"/>
              <w:ind w:left="178" w:hanging="178"/>
              <w:rPr>
                <w:rFonts w:eastAsia="Calibri"/>
                <w:color w:val="000000" w:themeColor="text1"/>
                <w:sz w:val="15"/>
                <w:szCs w:val="15"/>
              </w:rPr>
            </w:pPr>
            <w:r w:rsidRPr="00E04F7A">
              <w:rPr>
                <w:rFonts w:eastAsia="Calibri"/>
                <w:color w:val="000000" w:themeColor="text1"/>
                <w:sz w:val="15"/>
                <w:szCs w:val="15"/>
              </w:rPr>
              <w:t>Highest peak:</w:t>
            </w:r>
          </w:p>
          <w:p w14:paraId="52289A30" w14:textId="6039980F" w:rsidR="00AD62AB" w:rsidRPr="00E04F7A" w:rsidRDefault="00417A46" w:rsidP="00417A46">
            <w:pPr>
              <w:pStyle w:val="IJNEAMParagraph"/>
              <w:spacing w:after="0"/>
              <w:ind w:left="178"/>
              <w:rPr>
                <w:rFonts w:eastAsia="Calibri"/>
                <w:color w:val="000000" w:themeColor="text1"/>
                <w:sz w:val="15"/>
                <w:szCs w:val="15"/>
              </w:rPr>
            </w:pPr>
            <w:r w:rsidRPr="00E04F7A">
              <w:rPr>
                <w:rFonts w:eastAsia="Calibri"/>
                <w:color w:val="000000" w:themeColor="text1"/>
                <w:sz w:val="15"/>
                <w:szCs w:val="15"/>
              </w:rPr>
              <w:lastRenderedPageBreak/>
              <w:t>582 nm and-603 nm</w:t>
            </w:r>
          </w:p>
        </w:tc>
        <w:tc>
          <w:tcPr>
            <w:tcW w:w="1559" w:type="dxa"/>
          </w:tcPr>
          <w:p w14:paraId="31156297" w14:textId="30D548DB" w:rsidR="00417A46" w:rsidRPr="00E04F7A" w:rsidRDefault="00417A46" w:rsidP="00417A46">
            <w:pPr>
              <w:pStyle w:val="IJNEAMParagraph"/>
              <w:numPr>
                <w:ilvl w:val="0"/>
                <w:numId w:val="22"/>
              </w:numPr>
              <w:spacing w:after="0"/>
              <w:ind w:left="178" w:hanging="178"/>
              <w:rPr>
                <w:rFonts w:eastAsia="Calibri"/>
                <w:color w:val="000000" w:themeColor="text1"/>
                <w:sz w:val="15"/>
                <w:szCs w:val="15"/>
              </w:rPr>
            </w:pPr>
            <w:r w:rsidRPr="00E04F7A">
              <w:rPr>
                <w:rFonts w:eastAsia="Calibri"/>
                <w:color w:val="000000" w:themeColor="text1"/>
                <w:sz w:val="15"/>
                <w:szCs w:val="15"/>
              </w:rPr>
              <w:lastRenderedPageBreak/>
              <w:t>Distinct profile spectrum</w:t>
            </w:r>
          </w:p>
          <w:p w14:paraId="7AAFFEEC" w14:textId="5A040378" w:rsidR="00AD62AB" w:rsidRPr="00E04F7A" w:rsidRDefault="00417A46" w:rsidP="00417A46">
            <w:pPr>
              <w:pStyle w:val="IJNEAMParagraph"/>
              <w:numPr>
                <w:ilvl w:val="0"/>
                <w:numId w:val="22"/>
              </w:numPr>
              <w:spacing w:after="0"/>
              <w:ind w:left="178" w:hanging="178"/>
              <w:rPr>
                <w:rFonts w:eastAsia="Calibri"/>
                <w:color w:val="000000" w:themeColor="text1"/>
                <w:sz w:val="15"/>
                <w:szCs w:val="15"/>
              </w:rPr>
            </w:pPr>
            <w:r w:rsidRPr="00E04F7A">
              <w:rPr>
                <w:rFonts w:eastAsia="Calibri"/>
                <w:color w:val="000000" w:themeColor="text1"/>
                <w:sz w:val="15"/>
                <w:szCs w:val="15"/>
              </w:rPr>
              <w:lastRenderedPageBreak/>
              <w:t>Changes are greatest at the highest concentration.</w:t>
            </w:r>
          </w:p>
        </w:tc>
      </w:tr>
      <w:tr w:rsidR="00E04F7A" w:rsidRPr="00E04F7A" w14:paraId="190F0EEF" w14:textId="77777777" w:rsidTr="002A4B8D">
        <w:trPr>
          <w:gridAfter w:val="1"/>
          <w:wAfter w:w="11" w:type="dxa"/>
          <w:jc w:val="center"/>
        </w:trPr>
        <w:tc>
          <w:tcPr>
            <w:tcW w:w="704" w:type="dxa"/>
          </w:tcPr>
          <w:p w14:paraId="154267B6" w14:textId="77777777" w:rsidR="0044473E" w:rsidRPr="00E04F7A" w:rsidRDefault="0044473E" w:rsidP="0044473E">
            <w:pPr>
              <w:pStyle w:val="IJNEAMParagraph"/>
              <w:spacing w:after="0"/>
              <w:rPr>
                <w:rFonts w:eastAsia="Calibri"/>
                <w:color w:val="000000" w:themeColor="text1"/>
                <w:sz w:val="15"/>
                <w:szCs w:val="15"/>
                <w:lang w:val="en-MY"/>
              </w:rPr>
            </w:pPr>
            <w:r w:rsidRPr="00E04F7A">
              <w:rPr>
                <w:rFonts w:eastAsia="Calibri"/>
                <w:color w:val="000000" w:themeColor="text1"/>
                <w:sz w:val="15"/>
                <w:szCs w:val="15"/>
                <w:lang w:val="en-MY"/>
              </w:rPr>
              <w:lastRenderedPageBreak/>
              <w:t xml:space="preserve">NIR </w:t>
            </w:r>
          </w:p>
          <w:p w14:paraId="289ABA82" w14:textId="7251F234" w:rsidR="0044473E" w:rsidRPr="00E04F7A" w:rsidRDefault="0044473E" w:rsidP="0044473E">
            <w:pPr>
              <w:pStyle w:val="IJNEAMParagraph"/>
              <w:spacing w:after="0"/>
              <w:rPr>
                <w:rFonts w:eastAsia="Calibri"/>
                <w:color w:val="000000" w:themeColor="text1"/>
                <w:sz w:val="15"/>
                <w:szCs w:val="15"/>
                <w:lang w:val="en-MY"/>
              </w:rPr>
            </w:pPr>
            <w:r w:rsidRPr="00E04F7A">
              <w:rPr>
                <w:rFonts w:eastAsia="Calibri"/>
                <w:color w:val="000000" w:themeColor="text1"/>
                <w:sz w:val="15"/>
                <w:szCs w:val="15"/>
                <w:lang w:val="en-MY"/>
              </w:rPr>
              <w:t>(750 -1029 nm)</w:t>
            </w:r>
          </w:p>
        </w:tc>
        <w:tc>
          <w:tcPr>
            <w:tcW w:w="1276" w:type="dxa"/>
          </w:tcPr>
          <w:p w14:paraId="52F1C68C" w14:textId="075D5AF7" w:rsidR="0044473E" w:rsidRPr="00E04F7A" w:rsidRDefault="0044473E" w:rsidP="0044473E">
            <w:pPr>
              <w:pStyle w:val="IJNEAMParagraph"/>
              <w:numPr>
                <w:ilvl w:val="0"/>
                <w:numId w:val="22"/>
              </w:numPr>
              <w:spacing w:after="0"/>
              <w:ind w:left="178" w:hanging="178"/>
              <w:rPr>
                <w:rFonts w:eastAsia="Calibri"/>
                <w:color w:val="000000" w:themeColor="text1"/>
                <w:sz w:val="15"/>
                <w:szCs w:val="15"/>
              </w:rPr>
            </w:pPr>
            <w:r w:rsidRPr="00E04F7A">
              <w:rPr>
                <w:rFonts w:eastAsia="Calibri"/>
                <w:color w:val="000000" w:themeColor="text1"/>
                <w:sz w:val="15"/>
                <w:szCs w:val="15"/>
              </w:rPr>
              <w:t>750 – 1029 nm: gradually decreases</w:t>
            </w:r>
          </w:p>
        </w:tc>
        <w:tc>
          <w:tcPr>
            <w:tcW w:w="1417" w:type="dxa"/>
          </w:tcPr>
          <w:p w14:paraId="205AC0FA" w14:textId="0CD42204" w:rsidR="0044473E" w:rsidRPr="00E04F7A" w:rsidRDefault="0044473E" w:rsidP="0044473E">
            <w:pPr>
              <w:pStyle w:val="IJNEAMParagraph"/>
              <w:spacing w:after="0"/>
              <w:rPr>
                <w:rFonts w:eastAsia="Calibri"/>
                <w:color w:val="000000" w:themeColor="text1"/>
                <w:sz w:val="15"/>
                <w:szCs w:val="15"/>
              </w:rPr>
            </w:pPr>
            <w:r w:rsidRPr="00E04F7A">
              <w:rPr>
                <w:rFonts w:eastAsia="Calibri"/>
                <w:color w:val="000000" w:themeColor="text1"/>
                <w:sz w:val="15"/>
                <w:szCs w:val="15"/>
              </w:rPr>
              <w:t>750 – 1029 nm: gradually decreases</w:t>
            </w:r>
          </w:p>
        </w:tc>
        <w:tc>
          <w:tcPr>
            <w:tcW w:w="1559" w:type="dxa"/>
          </w:tcPr>
          <w:p w14:paraId="57711CA4" w14:textId="47D20792" w:rsidR="0044473E" w:rsidRPr="00E04F7A" w:rsidRDefault="0044473E" w:rsidP="0044473E">
            <w:pPr>
              <w:pStyle w:val="IJNEAMParagraph"/>
              <w:numPr>
                <w:ilvl w:val="0"/>
                <w:numId w:val="22"/>
              </w:numPr>
              <w:spacing w:after="0"/>
              <w:ind w:left="175" w:hanging="175"/>
              <w:rPr>
                <w:rFonts w:eastAsia="Calibri"/>
                <w:noProof/>
                <w:color w:val="000000" w:themeColor="text1"/>
                <w:sz w:val="15"/>
                <w:szCs w:val="15"/>
              </w:rPr>
            </w:pPr>
            <w:r w:rsidRPr="00E04F7A">
              <w:rPr>
                <w:rFonts w:eastAsia="Calibri"/>
                <w:color w:val="000000" w:themeColor="text1"/>
                <w:sz w:val="15"/>
                <w:szCs w:val="15"/>
              </w:rPr>
              <w:t>Lower concentration: maintained</w:t>
            </w:r>
          </w:p>
          <w:p w14:paraId="54AA01AC" w14:textId="005F7688" w:rsidR="0044473E" w:rsidRPr="00E04F7A" w:rsidRDefault="0044473E" w:rsidP="0044473E">
            <w:pPr>
              <w:pStyle w:val="IJNEAMParagraph"/>
              <w:numPr>
                <w:ilvl w:val="0"/>
                <w:numId w:val="22"/>
              </w:numPr>
              <w:spacing w:after="0"/>
              <w:ind w:left="175" w:hanging="175"/>
              <w:rPr>
                <w:rFonts w:eastAsia="Calibri"/>
                <w:noProof/>
                <w:color w:val="000000" w:themeColor="text1"/>
                <w:sz w:val="15"/>
                <w:szCs w:val="15"/>
              </w:rPr>
            </w:pPr>
            <w:r w:rsidRPr="00E04F7A">
              <w:rPr>
                <w:rFonts w:eastAsia="Calibri"/>
                <w:color w:val="000000" w:themeColor="text1"/>
                <w:sz w:val="15"/>
                <w:szCs w:val="15"/>
              </w:rPr>
              <w:t>Higher concentration: progressive climb</w:t>
            </w:r>
          </w:p>
        </w:tc>
      </w:tr>
      <w:tr w:rsidR="00E04F7A" w:rsidRPr="00E04F7A" w14:paraId="78C6D7BE" w14:textId="77777777" w:rsidTr="00303C5D">
        <w:trPr>
          <w:jc w:val="center"/>
        </w:trPr>
        <w:tc>
          <w:tcPr>
            <w:tcW w:w="4967" w:type="dxa"/>
            <w:gridSpan w:val="5"/>
          </w:tcPr>
          <w:p w14:paraId="0517AFFB" w14:textId="77777777" w:rsidR="0044473E" w:rsidRPr="00E04F7A" w:rsidRDefault="0044473E" w:rsidP="0044473E">
            <w:pPr>
              <w:pStyle w:val="IJNEAMParagraph"/>
              <w:spacing w:after="0"/>
              <w:jc w:val="center"/>
              <w:rPr>
                <w:rFonts w:eastAsia="Calibri"/>
                <w:noProof/>
                <w:color w:val="000000" w:themeColor="text1"/>
                <w:sz w:val="15"/>
                <w:szCs w:val="15"/>
              </w:rPr>
            </w:pPr>
            <w:r w:rsidRPr="00E04F7A">
              <w:rPr>
                <w:rFonts w:eastAsia="Calibri"/>
                <w:noProof/>
                <w:color w:val="000000" w:themeColor="text1"/>
                <w:sz w:val="15"/>
                <w:szCs w:val="15"/>
              </w:rPr>
              <w:t>Absorbance</w:t>
            </w:r>
          </w:p>
        </w:tc>
      </w:tr>
      <w:tr w:rsidR="00E04F7A" w:rsidRPr="00E04F7A" w14:paraId="1B0F62C4" w14:textId="77777777" w:rsidTr="002A4B8D">
        <w:trPr>
          <w:gridAfter w:val="1"/>
          <w:wAfter w:w="11" w:type="dxa"/>
          <w:jc w:val="center"/>
        </w:trPr>
        <w:tc>
          <w:tcPr>
            <w:tcW w:w="704" w:type="dxa"/>
          </w:tcPr>
          <w:p w14:paraId="7F4F90A0" w14:textId="77777777" w:rsidR="0044473E" w:rsidRPr="00E04F7A" w:rsidRDefault="0044473E" w:rsidP="0044473E">
            <w:pPr>
              <w:pStyle w:val="IJNEAMParagraph"/>
              <w:spacing w:after="0"/>
              <w:rPr>
                <w:rFonts w:eastAsia="Calibri"/>
                <w:color w:val="000000" w:themeColor="text1"/>
                <w:sz w:val="15"/>
                <w:szCs w:val="15"/>
                <w:lang w:val="en-MY"/>
              </w:rPr>
            </w:pPr>
            <w:r w:rsidRPr="00E04F7A">
              <w:rPr>
                <w:rFonts w:eastAsia="Calibri"/>
                <w:color w:val="000000" w:themeColor="text1"/>
                <w:sz w:val="15"/>
                <w:szCs w:val="15"/>
                <w:lang w:val="en-MY"/>
              </w:rPr>
              <w:t xml:space="preserve">UV </w:t>
            </w:r>
          </w:p>
          <w:p w14:paraId="2A6C4D07" w14:textId="77777777" w:rsidR="0044473E" w:rsidRPr="00E04F7A" w:rsidRDefault="0044473E" w:rsidP="0044473E">
            <w:pPr>
              <w:pStyle w:val="IJNEAMParagraph"/>
              <w:spacing w:after="0"/>
              <w:rPr>
                <w:rFonts w:eastAsia="Calibri"/>
                <w:color w:val="000000" w:themeColor="text1"/>
                <w:sz w:val="15"/>
                <w:szCs w:val="15"/>
                <w:lang w:val="en-MY"/>
              </w:rPr>
            </w:pPr>
            <w:r w:rsidRPr="00E04F7A">
              <w:rPr>
                <w:rFonts w:eastAsia="Calibri"/>
                <w:color w:val="000000" w:themeColor="text1"/>
                <w:sz w:val="15"/>
                <w:szCs w:val="15"/>
                <w:lang w:val="en-MY"/>
              </w:rPr>
              <w:t>(189 nm – 380 nm)</w:t>
            </w:r>
          </w:p>
        </w:tc>
        <w:tc>
          <w:tcPr>
            <w:tcW w:w="1276" w:type="dxa"/>
          </w:tcPr>
          <w:p w14:paraId="17D3C59C" w14:textId="0DAF8B45" w:rsidR="0044473E" w:rsidRPr="00E04F7A" w:rsidRDefault="0044473E" w:rsidP="0044473E">
            <w:pPr>
              <w:pStyle w:val="IJNEAMParagraph"/>
              <w:numPr>
                <w:ilvl w:val="0"/>
                <w:numId w:val="23"/>
              </w:numPr>
              <w:spacing w:after="0"/>
              <w:ind w:left="178" w:hanging="178"/>
              <w:rPr>
                <w:rFonts w:eastAsia="Calibri"/>
                <w:color w:val="000000" w:themeColor="text1"/>
                <w:sz w:val="15"/>
                <w:szCs w:val="15"/>
                <w:lang w:val="en-MY"/>
              </w:rPr>
            </w:pPr>
            <w:r w:rsidRPr="00E04F7A">
              <w:rPr>
                <w:rFonts w:eastAsia="Calibri"/>
                <w:color w:val="000000" w:themeColor="text1"/>
                <w:sz w:val="15"/>
                <w:szCs w:val="15"/>
                <w:lang w:val="en-MY"/>
              </w:rPr>
              <w:t>High absorbance: 229 and 277 nm</w:t>
            </w:r>
          </w:p>
        </w:tc>
        <w:tc>
          <w:tcPr>
            <w:tcW w:w="1417" w:type="dxa"/>
          </w:tcPr>
          <w:p w14:paraId="202AF915" w14:textId="0F6F92E5" w:rsidR="0044473E" w:rsidRPr="00E04F7A" w:rsidRDefault="0044473E" w:rsidP="0044473E">
            <w:pPr>
              <w:pStyle w:val="IJNEAMParagraph"/>
              <w:numPr>
                <w:ilvl w:val="0"/>
                <w:numId w:val="23"/>
              </w:numPr>
              <w:spacing w:after="0"/>
              <w:ind w:left="320" w:right="33" w:hanging="283"/>
              <w:rPr>
                <w:rFonts w:eastAsia="Calibri"/>
                <w:color w:val="000000" w:themeColor="text1"/>
                <w:sz w:val="15"/>
                <w:szCs w:val="15"/>
                <w:lang w:val="en-MY"/>
              </w:rPr>
            </w:pPr>
            <w:r w:rsidRPr="00E04F7A">
              <w:rPr>
                <w:rFonts w:eastAsia="Calibri"/>
                <w:color w:val="000000" w:themeColor="text1"/>
                <w:sz w:val="15"/>
                <w:szCs w:val="15"/>
                <w:lang w:val="en-MY"/>
              </w:rPr>
              <w:t>High absorbance: 340 nm</w:t>
            </w:r>
          </w:p>
          <w:p w14:paraId="304CD512" w14:textId="180ED1A8" w:rsidR="0044473E" w:rsidRPr="00E04F7A" w:rsidRDefault="0044473E" w:rsidP="0044473E">
            <w:pPr>
              <w:pStyle w:val="IJNEAMParagraph"/>
              <w:numPr>
                <w:ilvl w:val="0"/>
                <w:numId w:val="23"/>
              </w:numPr>
              <w:spacing w:after="0"/>
              <w:ind w:left="320" w:right="33" w:hanging="283"/>
              <w:rPr>
                <w:rFonts w:eastAsia="Calibri"/>
                <w:color w:val="000000" w:themeColor="text1"/>
                <w:sz w:val="15"/>
                <w:szCs w:val="15"/>
                <w:lang w:val="en-MY"/>
              </w:rPr>
            </w:pPr>
            <w:r w:rsidRPr="00E04F7A">
              <w:rPr>
                <w:rFonts w:eastAsia="Calibri"/>
                <w:color w:val="000000" w:themeColor="text1"/>
                <w:sz w:val="15"/>
                <w:szCs w:val="15"/>
                <w:lang w:val="en-MY"/>
              </w:rPr>
              <w:t>Inverse relationship between absorbance and concentration</w:t>
            </w:r>
          </w:p>
          <w:p w14:paraId="2BB9F405" w14:textId="77777777" w:rsidR="0044473E" w:rsidRPr="00E04F7A" w:rsidRDefault="0044473E" w:rsidP="0044473E">
            <w:pPr>
              <w:pStyle w:val="IJNEAMParagraph"/>
              <w:numPr>
                <w:ilvl w:val="0"/>
                <w:numId w:val="23"/>
              </w:numPr>
              <w:spacing w:after="0"/>
              <w:ind w:left="320" w:right="33" w:hanging="283"/>
              <w:rPr>
                <w:rFonts w:eastAsia="Calibri"/>
                <w:color w:val="000000" w:themeColor="text1"/>
                <w:sz w:val="15"/>
                <w:szCs w:val="15"/>
                <w:lang w:val="en-MY"/>
              </w:rPr>
            </w:pPr>
            <w:r w:rsidRPr="00E04F7A">
              <w:rPr>
                <w:rFonts w:eastAsia="Calibri"/>
                <w:color w:val="000000" w:themeColor="text1"/>
                <w:sz w:val="15"/>
                <w:szCs w:val="15"/>
              </w:rPr>
              <w:t xml:space="preserve">An inverse relationship between absorbance and concentration below wavelength 340 nm. </w:t>
            </w:r>
          </w:p>
          <w:p w14:paraId="3250B0C3" w14:textId="6AE9F070" w:rsidR="0044473E" w:rsidRPr="00E04F7A" w:rsidRDefault="0044473E" w:rsidP="0044473E">
            <w:pPr>
              <w:pStyle w:val="IJNEAMParagraph"/>
              <w:numPr>
                <w:ilvl w:val="0"/>
                <w:numId w:val="23"/>
              </w:numPr>
              <w:spacing w:after="0"/>
              <w:ind w:left="320" w:right="33" w:hanging="283"/>
              <w:rPr>
                <w:rFonts w:eastAsia="Calibri"/>
                <w:color w:val="000000" w:themeColor="text1"/>
                <w:sz w:val="15"/>
                <w:szCs w:val="15"/>
                <w:lang w:val="en-MY"/>
              </w:rPr>
            </w:pPr>
            <w:r w:rsidRPr="00E04F7A">
              <w:rPr>
                <w:rFonts w:eastAsia="Calibri"/>
                <w:color w:val="000000" w:themeColor="text1"/>
                <w:sz w:val="15"/>
                <w:szCs w:val="15"/>
              </w:rPr>
              <w:t>High noise.</w:t>
            </w:r>
          </w:p>
        </w:tc>
        <w:tc>
          <w:tcPr>
            <w:tcW w:w="1559" w:type="dxa"/>
          </w:tcPr>
          <w:p w14:paraId="264F438A" w14:textId="4FA9936D" w:rsidR="00B770D8" w:rsidRPr="00E04F7A" w:rsidRDefault="00B770D8" w:rsidP="00B770D8">
            <w:pPr>
              <w:pStyle w:val="IJNEAMParagraph"/>
              <w:numPr>
                <w:ilvl w:val="0"/>
                <w:numId w:val="23"/>
              </w:numPr>
              <w:spacing w:after="0"/>
              <w:ind w:left="175" w:hanging="175"/>
              <w:rPr>
                <w:rFonts w:eastAsia="Calibri"/>
                <w:noProof/>
                <w:color w:val="000000" w:themeColor="text1"/>
                <w:sz w:val="15"/>
                <w:szCs w:val="15"/>
              </w:rPr>
            </w:pPr>
            <w:r w:rsidRPr="00E04F7A">
              <w:rPr>
                <w:rFonts w:eastAsia="Calibri"/>
                <w:noProof/>
                <w:color w:val="000000" w:themeColor="text1"/>
                <w:sz w:val="15"/>
                <w:szCs w:val="15"/>
              </w:rPr>
              <w:t>Highest concentration: low gap</w:t>
            </w:r>
          </w:p>
          <w:p w14:paraId="35C18853" w14:textId="40EE01C4" w:rsidR="00B770D8" w:rsidRPr="00E04F7A" w:rsidRDefault="00B770D8" w:rsidP="00B770D8">
            <w:pPr>
              <w:pStyle w:val="IJNEAMParagraph"/>
              <w:numPr>
                <w:ilvl w:val="0"/>
                <w:numId w:val="23"/>
              </w:numPr>
              <w:spacing w:after="0"/>
              <w:ind w:left="175" w:hanging="175"/>
              <w:rPr>
                <w:rFonts w:eastAsia="Calibri"/>
                <w:noProof/>
                <w:color w:val="000000" w:themeColor="text1"/>
                <w:sz w:val="15"/>
                <w:szCs w:val="15"/>
              </w:rPr>
            </w:pPr>
            <w:r w:rsidRPr="00E04F7A">
              <w:rPr>
                <w:rFonts w:eastAsia="Calibri"/>
                <w:noProof/>
                <w:color w:val="000000" w:themeColor="text1"/>
                <w:sz w:val="15"/>
                <w:szCs w:val="15"/>
              </w:rPr>
              <w:t>Lowest concentration: high gap</w:t>
            </w:r>
          </w:p>
          <w:p w14:paraId="5C9A006E" w14:textId="1F053858" w:rsidR="0044473E" w:rsidRPr="00E04F7A" w:rsidRDefault="0044473E" w:rsidP="00B770D8">
            <w:pPr>
              <w:pStyle w:val="IJNEAMParagraph"/>
              <w:numPr>
                <w:ilvl w:val="0"/>
                <w:numId w:val="23"/>
              </w:numPr>
              <w:spacing w:after="0"/>
              <w:ind w:left="175" w:hanging="175"/>
              <w:rPr>
                <w:rFonts w:eastAsia="Calibri"/>
                <w:noProof/>
                <w:color w:val="000000" w:themeColor="text1"/>
                <w:sz w:val="15"/>
                <w:szCs w:val="15"/>
              </w:rPr>
            </w:pPr>
            <w:r w:rsidRPr="00E04F7A">
              <w:rPr>
                <w:rFonts w:eastAsia="Calibri"/>
                <w:noProof/>
                <w:color w:val="000000" w:themeColor="text1"/>
                <w:sz w:val="15"/>
                <w:szCs w:val="15"/>
              </w:rPr>
              <w:t>High noise.</w:t>
            </w:r>
          </w:p>
        </w:tc>
      </w:tr>
      <w:tr w:rsidR="00E04F7A" w:rsidRPr="00E04F7A" w14:paraId="50D63DE0" w14:textId="77777777" w:rsidTr="002A4B8D">
        <w:trPr>
          <w:gridAfter w:val="1"/>
          <w:wAfter w:w="11" w:type="dxa"/>
          <w:jc w:val="center"/>
        </w:trPr>
        <w:tc>
          <w:tcPr>
            <w:tcW w:w="704" w:type="dxa"/>
          </w:tcPr>
          <w:p w14:paraId="384CB4C6" w14:textId="77777777" w:rsidR="0044473E" w:rsidRPr="00E04F7A" w:rsidRDefault="0044473E" w:rsidP="0044473E">
            <w:pPr>
              <w:pStyle w:val="IJNEAMParagraph"/>
              <w:spacing w:after="0"/>
              <w:rPr>
                <w:rFonts w:eastAsia="Calibri"/>
                <w:color w:val="000000" w:themeColor="text1"/>
                <w:sz w:val="15"/>
                <w:szCs w:val="15"/>
                <w:lang w:val="en-MY"/>
              </w:rPr>
            </w:pPr>
            <w:r w:rsidRPr="00E04F7A">
              <w:rPr>
                <w:rFonts w:eastAsia="Calibri"/>
                <w:color w:val="000000" w:themeColor="text1"/>
                <w:sz w:val="15"/>
                <w:szCs w:val="15"/>
                <w:lang w:val="en-MY"/>
              </w:rPr>
              <w:t xml:space="preserve">Visible </w:t>
            </w:r>
          </w:p>
          <w:p w14:paraId="71BFD2EA" w14:textId="77777777" w:rsidR="0044473E" w:rsidRPr="00E04F7A" w:rsidRDefault="0044473E" w:rsidP="0044473E">
            <w:pPr>
              <w:pStyle w:val="IJNEAMParagraph"/>
              <w:spacing w:after="0"/>
              <w:rPr>
                <w:rFonts w:eastAsia="Calibri"/>
                <w:color w:val="000000" w:themeColor="text1"/>
                <w:sz w:val="15"/>
                <w:szCs w:val="15"/>
                <w:lang w:val="en-MY"/>
              </w:rPr>
            </w:pPr>
            <w:r w:rsidRPr="00E04F7A">
              <w:rPr>
                <w:rFonts w:eastAsia="Calibri"/>
                <w:color w:val="000000" w:themeColor="text1"/>
                <w:sz w:val="15"/>
                <w:szCs w:val="15"/>
                <w:lang w:val="en-MY"/>
              </w:rPr>
              <w:t>(380 nm – 750 nm)</w:t>
            </w:r>
          </w:p>
        </w:tc>
        <w:tc>
          <w:tcPr>
            <w:tcW w:w="1276" w:type="dxa"/>
          </w:tcPr>
          <w:p w14:paraId="670B43AE" w14:textId="77777777" w:rsidR="0044473E" w:rsidRPr="00E04F7A" w:rsidRDefault="0044473E" w:rsidP="0044473E">
            <w:pPr>
              <w:pStyle w:val="IJNEAMParagraph"/>
              <w:spacing w:after="0"/>
              <w:rPr>
                <w:rFonts w:eastAsia="Calibri"/>
                <w:color w:val="000000" w:themeColor="text1"/>
                <w:sz w:val="15"/>
                <w:szCs w:val="15"/>
                <w:lang w:val="en-MY"/>
              </w:rPr>
            </w:pPr>
            <w:r w:rsidRPr="00E04F7A">
              <w:rPr>
                <w:rFonts w:eastAsia="Calibri"/>
                <w:color w:val="000000" w:themeColor="text1"/>
                <w:sz w:val="15"/>
                <w:szCs w:val="15"/>
                <w:lang w:val="en-MY"/>
              </w:rPr>
              <w:t>No absorbance detected</w:t>
            </w:r>
          </w:p>
        </w:tc>
        <w:tc>
          <w:tcPr>
            <w:tcW w:w="1417" w:type="dxa"/>
          </w:tcPr>
          <w:p w14:paraId="5746E738" w14:textId="4FD34B83" w:rsidR="00E96E32" w:rsidRPr="00E04F7A" w:rsidRDefault="00E96E32" w:rsidP="00E96E32">
            <w:pPr>
              <w:pStyle w:val="IJNEAMParagraph"/>
              <w:numPr>
                <w:ilvl w:val="0"/>
                <w:numId w:val="25"/>
              </w:numPr>
              <w:spacing w:after="0"/>
              <w:ind w:left="315" w:hanging="283"/>
              <w:rPr>
                <w:rFonts w:eastAsia="Calibri"/>
                <w:color w:val="000000" w:themeColor="text1"/>
                <w:sz w:val="15"/>
                <w:szCs w:val="15"/>
                <w:lang w:val="en-MY"/>
              </w:rPr>
            </w:pPr>
            <w:r w:rsidRPr="00E04F7A">
              <w:rPr>
                <w:rFonts w:eastAsia="Calibri"/>
                <w:color w:val="000000" w:themeColor="text1"/>
                <w:sz w:val="15"/>
                <w:szCs w:val="15"/>
                <w:lang w:val="en-MY"/>
              </w:rPr>
              <w:t>380-647 nm: absorbance spectrum dec</w:t>
            </w:r>
            <w:r w:rsidR="00EA321D" w:rsidRPr="00E04F7A">
              <w:rPr>
                <w:rFonts w:eastAsia="Calibri"/>
                <w:color w:val="000000" w:themeColor="text1"/>
                <w:sz w:val="15"/>
                <w:szCs w:val="15"/>
                <w:lang w:val="en-MY"/>
              </w:rPr>
              <w:t>rease</w:t>
            </w:r>
            <w:r w:rsidRPr="00E04F7A">
              <w:rPr>
                <w:rFonts w:eastAsia="Calibri"/>
                <w:color w:val="000000" w:themeColor="text1"/>
                <w:sz w:val="15"/>
                <w:szCs w:val="15"/>
                <w:lang w:val="en-MY"/>
              </w:rPr>
              <w:t>.</w:t>
            </w:r>
          </w:p>
          <w:p w14:paraId="18048B95" w14:textId="77777777" w:rsidR="00954D44" w:rsidRPr="00E04F7A" w:rsidRDefault="00EA321D" w:rsidP="00E96E32">
            <w:pPr>
              <w:pStyle w:val="IJNEAMParagraph"/>
              <w:numPr>
                <w:ilvl w:val="0"/>
                <w:numId w:val="25"/>
              </w:numPr>
              <w:spacing w:after="0"/>
              <w:ind w:left="315" w:hanging="283"/>
              <w:rPr>
                <w:rFonts w:eastAsia="Calibri"/>
                <w:color w:val="000000" w:themeColor="text1"/>
                <w:sz w:val="15"/>
                <w:szCs w:val="15"/>
                <w:lang w:val="en-MY"/>
              </w:rPr>
            </w:pPr>
            <w:r w:rsidRPr="00E04F7A">
              <w:rPr>
                <w:rFonts w:eastAsia="Calibri"/>
                <w:color w:val="000000" w:themeColor="text1"/>
                <w:sz w:val="15"/>
                <w:szCs w:val="15"/>
                <w:lang w:val="en-MY"/>
              </w:rPr>
              <w:t>648-</w:t>
            </w:r>
            <w:r w:rsidR="0044473E" w:rsidRPr="00E04F7A">
              <w:rPr>
                <w:rFonts w:eastAsia="Calibri"/>
                <w:color w:val="000000" w:themeColor="text1"/>
                <w:sz w:val="15"/>
                <w:szCs w:val="15"/>
                <w:lang w:val="en-MY"/>
              </w:rPr>
              <w:t>750 nm</w:t>
            </w:r>
            <w:r w:rsidRPr="00E04F7A">
              <w:rPr>
                <w:rFonts w:eastAsia="Calibri"/>
                <w:color w:val="000000" w:themeColor="text1"/>
                <w:sz w:val="15"/>
                <w:szCs w:val="15"/>
                <w:lang w:val="en-MY"/>
              </w:rPr>
              <w:t>: absorbance spectrum increase</w:t>
            </w:r>
            <w:r w:rsidR="00954D44" w:rsidRPr="00E04F7A">
              <w:rPr>
                <w:rFonts w:eastAsia="Calibri"/>
                <w:color w:val="000000" w:themeColor="text1"/>
                <w:sz w:val="15"/>
                <w:szCs w:val="15"/>
                <w:lang w:val="en-MY"/>
              </w:rPr>
              <w:t>.</w:t>
            </w:r>
          </w:p>
          <w:p w14:paraId="363060F9" w14:textId="301E5DE3" w:rsidR="0044473E" w:rsidRPr="00E04F7A" w:rsidRDefault="0044473E" w:rsidP="00E96E32">
            <w:pPr>
              <w:pStyle w:val="IJNEAMParagraph"/>
              <w:numPr>
                <w:ilvl w:val="0"/>
                <w:numId w:val="25"/>
              </w:numPr>
              <w:spacing w:after="0"/>
              <w:ind w:left="315" w:hanging="283"/>
              <w:rPr>
                <w:rFonts w:eastAsia="Calibri"/>
                <w:color w:val="000000" w:themeColor="text1"/>
                <w:sz w:val="15"/>
                <w:szCs w:val="15"/>
                <w:lang w:val="en-MY"/>
              </w:rPr>
            </w:pPr>
            <w:r w:rsidRPr="00E04F7A">
              <w:rPr>
                <w:rFonts w:eastAsia="Calibri"/>
                <w:color w:val="000000" w:themeColor="text1"/>
                <w:sz w:val="15"/>
                <w:szCs w:val="15"/>
                <w:lang w:val="en-MY"/>
              </w:rPr>
              <w:t xml:space="preserve"> High noise.</w:t>
            </w:r>
          </w:p>
        </w:tc>
        <w:tc>
          <w:tcPr>
            <w:tcW w:w="1559" w:type="dxa"/>
          </w:tcPr>
          <w:p w14:paraId="6C759E0E" w14:textId="6F6E9A83" w:rsidR="007205EB" w:rsidRPr="00E04F7A" w:rsidRDefault="00316A55" w:rsidP="007205EB">
            <w:pPr>
              <w:pStyle w:val="IJNEAMParagraph"/>
              <w:numPr>
                <w:ilvl w:val="0"/>
                <w:numId w:val="23"/>
              </w:numPr>
              <w:spacing w:after="0"/>
              <w:ind w:left="175" w:hanging="175"/>
              <w:rPr>
                <w:rFonts w:eastAsia="Calibri"/>
                <w:noProof/>
                <w:color w:val="000000" w:themeColor="text1"/>
                <w:sz w:val="15"/>
                <w:szCs w:val="15"/>
              </w:rPr>
            </w:pPr>
            <w:r w:rsidRPr="00E04F7A">
              <w:rPr>
                <w:rFonts w:eastAsia="Calibri"/>
                <w:noProof/>
                <w:color w:val="000000" w:themeColor="text1"/>
                <w:sz w:val="15"/>
                <w:szCs w:val="15"/>
              </w:rPr>
              <w:t>Higher gap absorbance between</w:t>
            </w:r>
            <w:r w:rsidR="007205EB" w:rsidRPr="00E04F7A">
              <w:rPr>
                <w:rFonts w:eastAsia="Calibri"/>
                <w:noProof/>
                <w:color w:val="000000" w:themeColor="text1"/>
                <w:sz w:val="15"/>
                <w:szCs w:val="15"/>
              </w:rPr>
              <w:t xml:space="preserve"> 125 mg/d</w:t>
            </w:r>
            <w:r w:rsidR="000F421F" w:rsidRPr="00E04F7A">
              <w:rPr>
                <w:rFonts w:eastAsia="Calibri"/>
                <w:noProof/>
                <w:color w:val="000000" w:themeColor="text1"/>
                <w:sz w:val="15"/>
                <w:szCs w:val="15"/>
              </w:rPr>
              <w:t>L</w:t>
            </w:r>
            <w:r w:rsidR="007205EB" w:rsidRPr="00E04F7A">
              <w:rPr>
                <w:rFonts w:eastAsia="Calibri"/>
                <w:noProof/>
                <w:color w:val="000000" w:themeColor="text1"/>
                <w:sz w:val="15"/>
                <w:szCs w:val="15"/>
              </w:rPr>
              <w:t xml:space="preserve"> and 62.5 mg/d</w:t>
            </w:r>
            <w:r w:rsidR="000F421F" w:rsidRPr="00E04F7A">
              <w:rPr>
                <w:rFonts w:eastAsia="Calibri"/>
                <w:noProof/>
                <w:color w:val="000000" w:themeColor="text1"/>
                <w:sz w:val="15"/>
                <w:szCs w:val="15"/>
              </w:rPr>
              <w:t>L</w:t>
            </w:r>
            <w:r w:rsidR="007205EB" w:rsidRPr="00E04F7A">
              <w:rPr>
                <w:rFonts w:eastAsia="Calibri"/>
                <w:noProof/>
                <w:color w:val="000000" w:themeColor="text1"/>
                <w:sz w:val="15"/>
                <w:szCs w:val="15"/>
              </w:rPr>
              <w:t xml:space="preserve"> concentration.</w:t>
            </w:r>
          </w:p>
          <w:p w14:paraId="79050679" w14:textId="01F616CD" w:rsidR="0044473E" w:rsidRPr="00E04F7A" w:rsidRDefault="007205EB" w:rsidP="007205EB">
            <w:pPr>
              <w:pStyle w:val="IJNEAMParagraph"/>
              <w:numPr>
                <w:ilvl w:val="0"/>
                <w:numId w:val="23"/>
              </w:numPr>
              <w:spacing w:after="0"/>
              <w:ind w:left="175" w:hanging="175"/>
              <w:rPr>
                <w:rFonts w:eastAsia="Calibri"/>
                <w:noProof/>
                <w:color w:val="000000" w:themeColor="text1"/>
                <w:sz w:val="15"/>
                <w:szCs w:val="15"/>
              </w:rPr>
            </w:pPr>
            <w:r w:rsidRPr="00E04F7A">
              <w:rPr>
                <w:rFonts w:eastAsia="Calibri"/>
                <w:noProof/>
                <w:color w:val="000000" w:themeColor="text1"/>
                <w:sz w:val="15"/>
                <w:szCs w:val="15"/>
              </w:rPr>
              <w:t>Low gap absorbance between 62.5 mg/d</w:t>
            </w:r>
            <w:r w:rsidR="000F421F" w:rsidRPr="00E04F7A">
              <w:rPr>
                <w:rFonts w:eastAsia="Calibri"/>
                <w:noProof/>
                <w:color w:val="000000" w:themeColor="text1"/>
                <w:sz w:val="15"/>
                <w:szCs w:val="15"/>
              </w:rPr>
              <w:t>L</w:t>
            </w:r>
            <w:r w:rsidRPr="00E04F7A">
              <w:rPr>
                <w:rFonts w:eastAsia="Calibri"/>
                <w:noProof/>
                <w:color w:val="000000" w:themeColor="text1"/>
                <w:sz w:val="15"/>
                <w:szCs w:val="15"/>
              </w:rPr>
              <w:t xml:space="preserve"> and 31.25 mg/d</w:t>
            </w:r>
            <w:r w:rsidR="000F421F" w:rsidRPr="00E04F7A">
              <w:rPr>
                <w:rFonts w:eastAsia="Calibri"/>
                <w:noProof/>
                <w:color w:val="000000" w:themeColor="text1"/>
                <w:sz w:val="15"/>
                <w:szCs w:val="15"/>
              </w:rPr>
              <w:t>L</w:t>
            </w:r>
            <w:r w:rsidRPr="00E04F7A">
              <w:rPr>
                <w:rFonts w:eastAsia="Calibri"/>
                <w:noProof/>
                <w:color w:val="000000" w:themeColor="text1"/>
                <w:sz w:val="15"/>
                <w:szCs w:val="15"/>
              </w:rPr>
              <w:t xml:space="preserve"> concentration.</w:t>
            </w:r>
          </w:p>
        </w:tc>
      </w:tr>
      <w:tr w:rsidR="00E04F7A" w:rsidRPr="00E04F7A" w14:paraId="0CB2E365" w14:textId="77777777" w:rsidTr="002A4B8D">
        <w:trPr>
          <w:gridAfter w:val="1"/>
          <w:wAfter w:w="11" w:type="dxa"/>
          <w:jc w:val="center"/>
        </w:trPr>
        <w:tc>
          <w:tcPr>
            <w:tcW w:w="704" w:type="dxa"/>
          </w:tcPr>
          <w:p w14:paraId="1E6607D0" w14:textId="77777777" w:rsidR="009949CF" w:rsidRPr="00E04F7A" w:rsidRDefault="009949CF" w:rsidP="009949CF">
            <w:pPr>
              <w:pStyle w:val="IJNEAMParagraph"/>
              <w:spacing w:after="0"/>
              <w:rPr>
                <w:rFonts w:eastAsia="Calibri"/>
                <w:color w:val="000000" w:themeColor="text1"/>
                <w:sz w:val="15"/>
                <w:szCs w:val="15"/>
                <w:lang w:val="en-MY"/>
              </w:rPr>
            </w:pPr>
            <w:r w:rsidRPr="00E04F7A">
              <w:rPr>
                <w:rFonts w:eastAsia="Calibri"/>
                <w:color w:val="000000" w:themeColor="text1"/>
                <w:sz w:val="15"/>
                <w:szCs w:val="15"/>
                <w:lang w:val="en-MY"/>
              </w:rPr>
              <w:t xml:space="preserve">NIR </w:t>
            </w:r>
          </w:p>
          <w:p w14:paraId="1155F762" w14:textId="4B468636" w:rsidR="00B770D8" w:rsidRPr="00E04F7A" w:rsidRDefault="009949CF" w:rsidP="009949CF">
            <w:pPr>
              <w:pStyle w:val="IJNEAMParagraph"/>
              <w:spacing w:after="0"/>
              <w:rPr>
                <w:rFonts w:eastAsia="Calibri"/>
                <w:color w:val="000000" w:themeColor="text1"/>
                <w:sz w:val="15"/>
                <w:szCs w:val="15"/>
                <w:lang w:val="en-MY"/>
              </w:rPr>
            </w:pPr>
            <w:r w:rsidRPr="00E04F7A">
              <w:rPr>
                <w:rFonts w:eastAsia="Calibri"/>
                <w:color w:val="000000" w:themeColor="text1"/>
                <w:sz w:val="15"/>
                <w:szCs w:val="15"/>
                <w:lang w:val="en-MY"/>
              </w:rPr>
              <w:t>(750 nm -1029 nm)</w:t>
            </w:r>
          </w:p>
        </w:tc>
        <w:tc>
          <w:tcPr>
            <w:tcW w:w="1276" w:type="dxa"/>
          </w:tcPr>
          <w:p w14:paraId="2A0018AF" w14:textId="6AD51C50" w:rsidR="00B770D8" w:rsidRPr="00E04F7A" w:rsidRDefault="00B770D8" w:rsidP="0044473E">
            <w:pPr>
              <w:pStyle w:val="IJNEAMParagraph"/>
              <w:spacing w:after="0"/>
              <w:rPr>
                <w:rFonts w:eastAsia="Calibri"/>
                <w:color w:val="000000" w:themeColor="text1"/>
                <w:sz w:val="15"/>
                <w:szCs w:val="15"/>
                <w:lang w:val="en-MY"/>
              </w:rPr>
            </w:pPr>
            <w:r w:rsidRPr="00E04F7A">
              <w:rPr>
                <w:rFonts w:eastAsia="Calibri"/>
                <w:color w:val="000000" w:themeColor="text1"/>
                <w:sz w:val="15"/>
                <w:szCs w:val="15"/>
                <w:lang w:val="en-MY"/>
              </w:rPr>
              <w:t>No absorbance detected</w:t>
            </w:r>
          </w:p>
        </w:tc>
        <w:tc>
          <w:tcPr>
            <w:tcW w:w="1417" w:type="dxa"/>
          </w:tcPr>
          <w:p w14:paraId="153FB4B6" w14:textId="77777777" w:rsidR="009817A4" w:rsidRPr="00E04F7A" w:rsidRDefault="00B770D8" w:rsidP="00B770D8">
            <w:pPr>
              <w:pStyle w:val="IJNEAMParagraph"/>
              <w:numPr>
                <w:ilvl w:val="0"/>
                <w:numId w:val="23"/>
              </w:numPr>
              <w:spacing w:after="0"/>
              <w:ind w:left="320" w:right="33" w:hanging="283"/>
              <w:rPr>
                <w:rFonts w:eastAsia="Calibri"/>
                <w:color w:val="000000" w:themeColor="text1"/>
                <w:sz w:val="15"/>
                <w:szCs w:val="15"/>
                <w:lang w:val="en-MY"/>
              </w:rPr>
            </w:pPr>
            <w:r w:rsidRPr="00E04F7A">
              <w:rPr>
                <w:rFonts w:eastAsia="Calibri"/>
                <w:color w:val="000000" w:themeColor="text1"/>
                <w:sz w:val="15"/>
                <w:szCs w:val="15"/>
                <w:lang w:val="en-MY"/>
              </w:rPr>
              <w:t>The absorbance increased towards the longer wavelength.</w:t>
            </w:r>
          </w:p>
          <w:p w14:paraId="2E632AF7" w14:textId="2557D9FA" w:rsidR="00B770D8" w:rsidRPr="00E04F7A" w:rsidRDefault="00B770D8" w:rsidP="00B770D8">
            <w:pPr>
              <w:pStyle w:val="IJNEAMParagraph"/>
              <w:numPr>
                <w:ilvl w:val="0"/>
                <w:numId w:val="23"/>
              </w:numPr>
              <w:spacing w:after="0"/>
              <w:ind w:left="320" w:right="33" w:hanging="283"/>
              <w:rPr>
                <w:rFonts w:eastAsia="Calibri"/>
                <w:color w:val="000000" w:themeColor="text1"/>
                <w:sz w:val="15"/>
                <w:szCs w:val="15"/>
                <w:lang w:val="en-MY"/>
              </w:rPr>
            </w:pPr>
            <w:r w:rsidRPr="00E04F7A">
              <w:rPr>
                <w:rFonts w:eastAsia="Calibri"/>
                <w:color w:val="000000" w:themeColor="text1"/>
                <w:sz w:val="15"/>
                <w:szCs w:val="15"/>
                <w:lang w:val="en-MY"/>
              </w:rPr>
              <w:t>A</w:t>
            </w:r>
            <w:r w:rsidRPr="00E04F7A">
              <w:rPr>
                <w:rFonts w:eastAsia="Calibri"/>
                <w:color w:val="000000" w:themeColor="text1"/>
                <w:sz w:val="15"/>
                <w:szCs w:val="15"/>
              </w:rPr>
              <w:t>n inverse relationship with concentrati</w:t>
            </w:r>
            <w:r w:rsidR="009949CF" w:rsidRPr="00E04F7A">
              <w:rPr>
                <w:rFonts w:eastAsia="Calibri"/>
                <w:color w:val="000000" w:themeColor="text1"/>
                <w:sz w:val="15"/>
                <w:szCs w:val="15"/>
              </w:rPr>
              <w:t>o</w:t>
            </w:r>
            <w:r w:rsidRPr="00E04F7A">
              <w:rPr>
                <w:rFonts w:eastAsia="Calibri"/>
                <w:color w:val="000000" w:themeColor="text1"/>
                <w:sz w:val="15"/>
                <w:szCs w:val="15"/>
              </w:rPr>
              <w:t>n.</w:t>
            </w:r>
          </w:p>
          <w:p w14:paraId="60BFC03F" w14:textId="1B8517F1" w:rsidR="00B770D8" w:rsidRPr="00E04F7A" w:rsidRDefault="00B770D8" w:rsidP="009817A4">
            <w:pPr>
              <w:pStyle w:val="IJNEAMParagraph"/>
              <w:numPr>
                <w:ilvl w:val="0"/>
                <w:numId w:val="23"/>
              </w:numPr>
              <w:spacing w:after="0"/>
              <w:ind w:left="320" w:right="33" w:hanging="283"/>
              <w:rPr>
                <w:rFonts w:eastAsia="Calibri"/>
                <w:color w:val="000000" w:themeColor="text1"/>
                <w:sz w:val="15"/>
                <w:szCs w:val="15"/>
              </w:rPr>
            </w:pPr>
            <w:r w:rsidRPr="00E04F7A">
              <w:rPr>
                <w:rFonts w:eastAsia="Calibri"/>
                <w:color w:val="000000" w:themeColor="text1"/>
                <w:sz w:val="15"/>
                <w:szCs w:val="15"/>
                <w:lang w:val="en-MY"/>
              </w:rPr>
              <w:t>High</w:t>
            </w:r>
            <w:r w:rsidR="009817A4" w:rsidRPr="00E04F7A">
              <w:rPr>
                <w:rFonts w:eastAsia="Calibri"/>
                <w:color w:val="000000" w:themeColor="text1"/>
                <w:sz w:val="15"/>
                <w:szCs w:val="15"/>
                <w:lang w:val="en-MY"/>
              </w:rPr>
              <w:t xml:space="preserve"> noise</w:t>
            </w:r>
          </w:p>
        </w:tc>
        <w:tc>
          <w:tcPr>
            <w:tcW w:w="1559" w:type="dxa"/>
          </w:tcPr>
          <w:p w14:paraId="787468CB" w14:textId="7171EC22" w:rsidR="009949CF" w:rsidRPr="00E04F7A" w:rsidRDefault="009949CF" w:rsidP="009949CF">
            <w:pPr>
              <w:pStyle w:val="IJNEAMParagraph"/>
              <w:numPr>
                <w:ilvl w:val="0"/>
                <w:numId w:val="24"/>
              </w:numPr>
              <w:spacing w:after="0"/>
              <w:ind w:left="317" w:hanging="284"/>
              <w:rPr>
                <w:rFonts w:eastAsia="Calibri"/>
                <w:noProof/>
                <w:color w:val="000000" w:themeColor="text1"/>
                <w:sz w:val="15"/>
                <w:szCs w:val="15"/>
              </w:rPr>
            </w:pPr>
            <w:r w:rsidRPr="00E04F7A">
              <w:rPr>
                <w:rFonts w:eastAsia="Calibri"/>
                <w:noProof/>
                <w:color w:val="000000" w:themeColor="text1"/>
                <w:sz w:val="15"/>
                <w:szCs w:val="15"/>
              </w:rPr>
              <w:t xml:space="preserve">The highest absorbance is </w:t>
            </w:r>
            <w:r w:rsidR="007205EB" w:rsidRPr="00E04F7A">
              <w:rPr>
                <w:rFonts w:eastAsia="Calibri"/>
                <w:noProof/>
                <w:color w:val="000000" w:themeColor="text1"/>
                <w:sz w:val="15"/>
                <w:szCs w:val="15"/>
              </w:rPr>
              <w:t>62.5 mg/d</w:t>
            </w:r>
            <w:r w:rsidR="000F421F" w:rsidRPr="00E04F7A">
              <w:rPr>
                <w:rFonts w:eastAsia="Calibri"/>
                <w:noProof/>
                <w:color w:val="000000" w:themeColor="text1"/>
                <w:sz w:val="15"/>
                <w:szCs w:val="15"/>
              </w:rPr>
              <w:t>L</w:t>
            </w:r>
            <w:r w:rsidRPr="00E04F7A">
              <w:rPr>
                <w:rFonts w:eastAsia="Calibri"/>
                <w:noProof/>
                <w:color w:val="000000" w:themeColor="text1"/>
                <w:sz w:val="15"/>
                <w:szCs w:val="15"/>
              </w:rPr>
              <w:t xml:space="preserve"> concentration, followed by </w:t>
            </w:r>
            <w:r w:rsidR="007205EB" w:rsidRPr="00E04F7A">
              <w:rPr>
                <w:rFonts w:eastAsia="Calibri"/>
                <w:noProof/>
                <w:color w:val="000000" w:themeColor="text1"/>
                <w:sz w:val="15"/>
                <w:szCs w:val="15"/>
              </w:rPr>
              <w:t>125 mg/</w:t>
            </w:r>
            <w:r w:rsidR="000F421F" w:rsidRPr="00E04F7A">
              <w:rPr>
                <w:rFonts w:eastAsia="Calibri"/>
                <w:noProof/>
                <w:color w:val="000000" w:themeColor="text1"/>
                <w:sz w:val="15"/>
                <w:szCs w:val="15"/>
              </w:rPr>
              <w:t>dL</w:t>
            </w:r>
            <w:r w:rsidRPr="00E04F7A">
              <w:rPr>
                <w:rFonts w:eastAsia="Calibri"/>
                <w:noProof/>
                <w:color w:val="000000" w:themeColor="text1"/>
                <w:sz w:val="15"/>
                <w:szCs w:val="15"/>
              </w:rPr>
              <w:t xml:space="preserve"> and </w:t>
            </w:r>
            <w:r w:rsidR="007205EB" w:rsidRPr="00E04F7A">
              <w:rPr>
                <w:rFonts w:eastAsia="Calibri"/>
                <w:noProof/>
                <w:color w:val="000000" w:themeColor="text1"/>
                <w:sz w:val="15"/>
                <w:szCs w:val="15"/>
              </w:rPr>
              <w:t>31.25 mg/d</w:t>
            </w:r>
            <w:r w:rsidR="000F421F" w:rsidRPr="00E04F7A">
              <w:rPr>
                <w:rFonts w:eastAsia="Calibri"/>
                <w:noProof/>
                <w:color w:val="000000" w:themeColor="text1"/>
                <w:sz w:val="15"/>
                <w:szCs w:val="15"/>
              </w:rPr>
              <w:t>L</w:t>
            </w:r>
            <w:r w:rsidR="007205EB" w:rsidRPr="00E04F7A">
              <w:rPr>
                <w:rFonts w:eastAsia="Calibri"/>
                <w:noProof/>
                <w:color w:val="000000" w:themeColor="text1"/>
                <w:sz w:val="15"/>
                <w:szCs w:val="15"/>
              </w:rPr>
              <w:t xml:space="preserve"> </w:t>
            </w:r>
            <w:r w:rsidRPr="00E04F7A">
              <w:rPr>
                <w:rFonts w:eastAsia="Calibri"/>
                <w:noProof/>
                <w:color w:val="000000" w:themeColor="text1"/>
                <w:sz w:val="15"/>
                <w:szCs w:val="15"/>
              </w:rPr>
              <w:t>concentrations.</w:t>
            </w:r>
          </w:p>
          <w:p w14:paraId="373F2673" w14:textId="238D2295" w:rsidR="00B770D8" w:rsidRPr="00E04F7A" w:rsidRDefault="009817A4" w:rsidP="009949CF">
            <w:pPr>
              <w:pStyle w:val="IJNEAMParagraph"/>
              <w:numPr>
                <w:ilvl w:val="0"/>
                <w:numId w:val="24"/>
              </w:numPr>
              <w:spacing w:after="0"/>
              <w:ind w:left="317" w:hanging="284"/>
              <w:rPr>
                <w:rFonts w:eastAsia="Calibri"/>
                <w:noProof/>
                <w:color w:val="000000" w:themeColor="text1"/>
                <w:sz w:val="15"/>
                <w:szCs w:val="15"/>
              </w:rPr>
            </w:pPr>
            <w:r w:rsidRPr="00E04F7A">
              <w:rPr>
                <w:rFonts w:eastAsia="Calibri"/>
                <w:color w:val="000000" w:themeColor="text1"/>
                <w:sz w:val="15"/>
                <w:szCs w:val="15"/>
                <w:lang w:val="en-MY"/>
              </w:rPr>
              <w:t>High noise</w:t>
            </w:r>
          </w:p>
        </w:tc>
      </w:tr>
    </w:tbl>
    <w:p w14:paraId="7860068F" w14:textId="77777777" w:rsidR="00E4330C" w:rsidRDefault="00E4330C" w:rsidP="00242714">
      <w:pPr>
        <w:rPr>
          <w:lang w:val="x-none" w:eastAsia="x-none"/>
        </w:rPr>
      </w:pPr>
    </w:p>
    <w:p w14:paraId="3F449D44" w14:textId="1AE15B36" w:rsidR="00904C1D" w:rsidRDefault="00E03383" w:rsidP="00167C77">
      <w:pPr>
        <w:pStyle w:val="Heading2"/>
      </w:pPr>
      <w:r>
        <w:t>Calibration Curve</w:t>
      </w:r>
    </w:p>
    <w:p w14:paraId="38EFA6A7" w14:textId="2736F4CB" w:rsidR="008E10E9" w:rsidRPr="00CD4A5A" w:rsidRDefault="005609C4" w:rsidP="008E10E9">
      <w:pPr>
        <w:pStyle w:val="IJNEAMParagraph"/>
        <w:rPr>
          <w:color w:val="000000" w:themeColor="text1"/>
        </w:rPr>
      </w:pPr>
      <w:r w:rsidRPr="00F23B31">
        <w:t xml:space="preserve">The magnitude of light intensity and the absorption spectrum data are significant for detecting an analyte. This study utilized a comparison of the calibration curve in the UV band to assess the sensitivity. Figure </w:t>
      </w:r>
      <w:r w:rsidR="009F5439">
        <w:t>7</w:t>
      </w:r>
      <w:r w:rsidRPr="00F23B31">
        <w:t xml:space="preserve"> (a)(i)-(iii) displays the calibration curve for the total light intensity of the cuvette medium, </w:t>
      </w:r>
      <w:r w:rsidR="00B006F6" w:rsidRPr="00CD4A5A">
        <w:rPr>
          <w:color w:val="000000" w:themeColor="text1"/>
        </w:rPr>
        <w:t xml:space="preserve">non-bio functionalized </w:t>
      </w:r>
      <w:r w:rsidRPr="00CD4A5A">
        <w:rPr>
          <w:color w:val="000000" w:themeColor="text1"/>
        </w:rPr>
        <w:t xml:space="preserve">tapered optical fiber, and </w:t>
      </w:r>
      <w:r w:rsidR="00B006F6" w:rsidRPr="00CD4A5A">
        <w:rPr>
          <w:color w:val="000000" w:themeColor="text1"/>
        </w:rPr>
        <w:t xml:space="preserve">bio </w:t>
      </w:r>
      <w:r w:rsidRPr="00CD4A5A">
        <w:rPr>
          <w:color w:val="000000" w:themeColor="text1"/>
        </w:rPr>
        <w:t>functi</w:t>
      </w:r>
      <w:r w:rsidRPr="00F23B31">
        <w:t>onalized tapered optical fiber.</w:t>
      </w:r>
      <w:r>
        <w:t xml:space="preserve"> </w:t>
      </w:r>
      <w:r w:rsidRPr="00F23B31">
        <w:t xml:space="preserve">The sensitivity value in this experiment is negative because the decrease in light observed by the spectrometer is directly proportional to the increase in BSA content. The cuvettes demonstrated superior sensitivity values, followed by </w:t>
      </w:r>
      <w:r w:rsidR="00B006F6">
        <w:t xml:space="preserve">bio </w:t>
      </w:r>
      <w:r w:rsidRPr="00F23B31">
        <w:t>functionalize</w:t>
      </w:r>
      <w:r>
        <w:t xml:space="preserve">d </w:t>
      </w:r>
      <w:r w:rsidRPr="00F23B31">
        <w:t>tapered optical fiber and non-</w:t>
      </w:r>
      <w:r w:rsidR="004C0D96">
        <w:t xml:space="preserve">bio </w:t>
      </w:r>
      <w:r w:rsidRPr="00F23B31">
        <w:t xml:space="preserve">functionalized tapered optical fiber. </w:t>
      </w:r>
      <w:r w:rsidRPr="0054346B">
        <w:t xml:space="preserve">The sensitivity of </w:t>
      </w:r>
      <w:r w:rsidR="004C0D96">
        <w:t xml:space="preserve">non-bio functionalized </w:t>
      </w:r>
      <w:r w:rsidRPr="0054346B">
        <w:t>tapered optical fiber was 99</w:t>
      </w:r>
      <w:r>
        <w:t>.</w:t>
      </w:r>
      <w:r w:rsidRPr="0054346B">
        <w:t>96% lower than that of cuvette medium</w:t>
      </w:r>
      <w:r>
        <w:t xml:space="preserve">. </w:t>
      </w:r>
      <w:r w:rsidRPr="002117AF">
        <w:t>The functionalized version, on the other hand, has demonstrated a 207.</w:t>
      </w:r>
      <w:r w:rsidR="00C04A14">
        <w:t>1</w:t>
      </w:r>
      <w:r>
        <w:t xml:space="preserve">% </w:t>
      </w:r>
      <w:r w:rsidRPr="002117AF">
        <w:t xml:space="preserve">improvement in sensitivity, with values rising from -0.64962 to -1.99477. </w:t>
      </w:r>
      <w:r w:rsidR="008E10E9" w:rsidRPr="00CD4A5A">
        <w:rPr>
          <w:color w:val="000000" w:themeColor="text1"/>
        </w:rPr>
        <w:t>This enhancement was quantified by calculating the relative increase in sensitivity of BFTOF over NBTOF.</w:t>
      </w:r>
    </w:p>
    <w:p w14:paraId="1397BA5E" w14:textId="0663593C" w:rsidR="008E10E9" w:rsidRPr="00CD4A5A" w:rsidRDefault="008E10E9" w:rsidP="008E10E9">
      <w:pPr>
        <w:pStyle w:val="IJNEAMParagraph"/>
        <w:rPr>
          <w:color w:val="000000" w:themeColor="text1"/>
        </w:rPr>
      </w:pPr>
      <m:oMathPara>
        <m:oMath>
          <m:r>
            <w:rPr>
              <w:rFonts w:ascii="Cambria Math" w:hAnsi="Cambria Math"/>
              <w:color w:val="000000" w:themeColor="text1"/>
            </w:rPr>
            <m:t xml:space="preserve">Sensitivity Increase </m:t>
          </m:r>
          <m:d>
            <m:dPr>
              <m:ctrlPr>
                <w:rPr>
                  <w:rFonts w:ascii="Cambria Math" w:hAnsi="Cambria Math"/>
                  <w:i/>
                  <w:color w:val="000000" w:themeColor="text1"/>
                </w:rPr>
              </m:ctrlPr>
            </m:dPr>
            <m:e>
              <m:r>
                <w:rPr>
                  <w:rFonts w:ascii="Cambria Math" w:hAnsi="Cambria Math"/>
                  <w:color w:val="000000" w:themeColor="text1"/>
                </w:rPr>
                <m:t>%</m:t>
              </m:r>
            </m:e>
          </m:d>
          <m:r>
            <w:rPr>
              <w:rFonts w:ascii="Cambria Math" w:hAnsi="Cambria Math"/>
              <w:color w:val="000000" w:themeColor="text1"/>
            </w:rPr>
            <m:t>=</m:t>
          </m:r>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-1.9947-</m:t>
                  </m:r>
                  <m:d>
                    <m:dPr>
                      <m:ctrlPr>
                        <w:rPr>
                          <w:rFonts w:ascii="Cambria Math" w:hAnsi="Cambria Math"/>
                          <w:i/>
                          <w:color w:val="000000" w:themeColor="text1"/>
                        </w:rPr>
                      </m:ctrlPr>
                    </m:dPr>
                    <m:e>
                      <m:r>
                        <w:rPr>
                          <w:rFonts w:ascii="Cambria Math" w:hAnsi="Cambria Math"/>
                          <w:color w:val="000000" w:themeColor="text1"/>
                        </w:rPr>
                        <m:t>-0.64962</m:t>
                      </m:r>
                    </m:e>
                  </m:d>
                </m:num>
                <m:den>
                  <m:d>
                    <m:dPr>
                      <m:begChr m:val="|"/>
                      <m:endChr m:val="|"/>
                      <m:ctrlPr>
                        <w:rPr>
                          <w:rFonts w:ascii="Cambria Math" w:hAnsi="Cambria Math"/>
                          <w:i/>
                          <w:color w:val="000000" w:themeColor="text1"/>
                        </w:rPr>
                      </m:ctrlPr>
                    </m:dPr>
                    <m:e>
                      <m:r>
                        <w:rPr>
                          <w:rFonts w:ascii="Cambria Math" w:hAnsi="Cambria Math"/>
                          <w:color w:val="000000" w:themeColor="text1"/>
                        </w:rPr>
                        <m:t>-0.64962</m:t>
                      </m:r>
                    </m:e>
                  </m:d>
                </m:den>
              </m:f>
            </m:e>
          </m:d>
          <m:r>
            <w:rPr>
              <w:rFonts w:ascii="Cambria Math" w:hAnsi="Cambria Math"/>
              <w:color w:val="000000" w:themeColor="text1"/>
            </w:rPr>
            <m:t xml:space="preserve"> ×100</m:t>
          </m:r>
        </m:oMath>
      </m:oMathPara>
    </w:p>
    <w:p w14:paraId="31774D11" w14:textId="0259DD14" w:rsidR="008E10E9" w:rsidRPr="00CD4A5A" w:rsidRDefault="00000000" w:rsidP="00C04A14">
      <w:pPr>
        <w:pStyle w:val="IJNEAMParagraph"/>
        <w:ind w:firstLine="720"/>
        <w:rPr>
          <w:color w:val="000000" w:themeColor="text1"/>
        </w:rPr>
      </w:pPr>
      <m:oMathPara>
        <m:oMathParaPr>
          <m:jc m:val="right"/>
        </m:oMathParaPr>
        <m:oMath>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-1.34508</m:t>
                  </m:r>
                </m:num>
                <m:den>
                  <m:r>
                    <w:rPr>
                      <w:rFonts w:ascii="Cambria Math" w:hAnsi="Cambria Math"/>
                      <w:color w:val="000000" w:themeColor="text1"/>
                    </w:rPr>
                    <m:t>-0.64962</m:t>
                  </m:r>
                </m:den>
              </m:f>
            </m:e>
          </m:d>
          <m:r>
            <w:rPr>
              <w:rFonts w:ascii="Cambria Math" w:hAnsi="Cambria Math"/>
              <w:color w:val="000000" w:themeColor="text1"/>
            </w:rPr>
            <m:t xml:space="preserve"> ×100 ≈207.1</m:t>
          </m:r>
        </m:oMath>
      </m:oMathPara>
    </w:p>
    <w:p w14:paraId="27EAD253" w14:textId="5CD93373" w:rsidR="005609C4" w:rsidRPr="00CD4A5A" w:rsidRDefault="005609C4" w:rsidP="008E10E9">
      <w:pPr>
        <w:pStyle w:val="IJNEAMParagraph"/>
        <w:rPr>
          <w:color w:val="000000" w:themeColor="text1"/>
        </w:rPr>
      </w:pPr>
      <w:r w:rsidRPr="00CD4A5A">
        <w:rPr>
          <w:color w:val="000000" w:themeColor="text1"/>
        </w:rPr>
        <w:t xml:space="preserve">The </w:t>
      </w:r>
      <w:r w:rsidR="00B006F6" w:rsidRPr="00CD4A5A">
        <w:rPr>
          <w:color w:val="000000" w:themeColor="text1"/>
        </w:rPr>
        <w:t xml:space="preserve">bio </w:t>
      </w:r>
      <w:r w:rsidRPr="00CD4A5A">
        <w:rPr>
          <w:color w:val="000000" w:themeColor="text1"/>
        </w:rPr>
        <w:t xml:space="preserve">functionalized tapered sensitivity value is merely 0.962% of the sensitivity seen on the cuvette because of a significant disparity in the intensity levels employed in the two scenarios. </w:t>
      </w:r>
    </w:p>
    <w:p w14:paraId="6C45507F" w14:textId="16557558" w:rsidR="00C04A14" w:rsidRPr="00CD4A5A" w:rsidRDefault="00C04A14" w:rsidP="008E10E9">
      <w:pPr>
        <w:pStyle w:val="IJNEAMParagraph"/>
        <w:rPr>
          <w:color w:val="000000" w:themeColor="text1"/>
        </w:rPr>
      </w:pPr>
      <m:oMathPara>
        <m:oMath>
          <m:r>
            <w:rPr>
              <w:rFonts w:ascii="Cambria Math" w:hAnsi="Cambria Math"/>
              <w:color w:val="000000" w:themeColor="text1"/>
            </w:rPr>
            <m:t xml:space="preserve">Relative Sensitivity </m:t>
          </m:r>
          <m:d>
            <m:dPr>
              <m:ctrlPr>
                <w:rPr>
                  <w:rFonts w:ascii="Cambria Math" w:hAnsi="Cambria Math"/>
                  <w:i/>
                  <w:color w:val="000000" w:themeColor="text1"/>
                </w:rPr>
              </m:ctrlPr>
            </m:dPr>
            <m:e>
              <m:r>
                <w:rPr>
                  <w:rFonts w:ascii="Cambria Math" w:hAnsi="Cambria Math"/>
                  <w:color w:val="000000" w:themeColor="text1"/>
                </w:rPr>
                <m:t>%</m:t>
              </m:r>
            </m:e>
          </m:d>
          <m:r>
            <w:rPr>
              <w:rFonts w:ascii="Cambria Math" w:hAnsi="Cambria Math"/>
              <w:color w:val="000000" w:themeColor="text1"/>
            </w:rPr>
            <m:t xml:space="preserve">= </m:t>
          </m:r>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-1.9947</m:t>
                  </m:r>
                </m:num>
                <m:den>
                  <m:r>
                    <w:rPr>
                      <w:rFonts w:ascii="Cambria Math" w:hAnsi="Cambria Math"/>
                      <w:color w:val="000000" w:themeColor="text1"/>
                    </w:rPr>
                    <m:t>-207.26403</m:t>
                  </m:r>
                </m:den>
              </m:f>
            </m:e>
          </m:d>
          <m:r>
            <w:rPr>
              <w:rFonts w:ascii="Cambria Math" w:hAnsi="Cambria Math"/>
              <w:color w:val="000000" w:themeColor="text1"/>
            </w:rPr>
            <m:t>×100≈0.962</m:t>
          </m:r>
        </m:oMath>
      </m:oMathPara>
    </w:p>
    <w:p w14:paraId="50C05771" w14:textId="04EE0070" w:rsidR="00D73677" w:rsidRPr="00CD4A5A" w:rsidRDefault="00FF1189" w:rsidP="00D73677">
      <w:pPr>
        <w:pStyle w:val="IJNEAMParagraph"/>
        <w:rPr>
          <w:color w:val="000000" w:themeColor="text1"/>
        </w:rPr>
      </w:pPr>
      <w:r w:rsidRPr="00CD4A5A">
        <w:rPr>
          <w:color w:val="000000" w:themeColor="text1"/>
        </w:rPr>
        <w:t xml:space="preserve">The calibration curve in Figure </w:t>
      </w:r>
      <w:r w:rsidR="009F5439" w:rsidRPr="00CD4A5A">
        <w:rPr>
          <w:color w:val="000000" w:themeColor="text1"/>
        </w:rPr>
        <w:t xml:space="preserve">7 </w:t>
      </w:r>
      <w:r w:rsidRPr="00CD4A5A">
        <w:rPr>
          <w:color w:val="000000" w:themeColor="text1"/>
        </w:rPr>
        <w:t>(b)(i)-(iii) for absorbanc</w:t>
      </w:r>
      <w:r w:rsidRPr="00FF1189">
        <w:t xml:space="preserve">e mirrors the sensitivity pattern observed in the intensity calibration curve, highlighting critical differences in detection efficacy. Notably, the cuvette achieves the highest sensitivity at 0.00546, substantially outperforming the biofunctionalized and non-biofunctionalized tapered optical fibers, which demonstrate sensitivities of 0.00195 and 1.2228e-4, respectively. The </w:t>
      </w:r>
      <w:r w:rsidR="00C04A14">
        <w:t xml:space="preserve">non-bio functionalized </w:t>
      </w:r>
      <w:r w:rsidRPr="00FF1189">
        <w:t>tapered optical fiber sensitivity has dropped 97.76 percent from 0.00546 to 1.22286e-4 compar</w:t>
      </w:r>
      <w:r w:rsidR="009C35A4">
        <w:t>ed</w:t>
      </w:r>
      <w:r w:rsidRPr="00FF1189">
        <w:t xml:space="preserve"> to </w:t>
      </w:r>
      <w:r w:rsidR="009C35A4">
        <w:t>the </w:t>
      </w:r>
      <w:r w:rsidRPr="00FF1189">
        <w:t>cuvette medium, which is comparable to the trend in light intensity. Remarkably, biofunctionalization enhances the sensitivity of the tapered optical fiber by an impressive 1494.72%. This significant improvement underscores the potential of biofunctionalized tapered fibers in precision sensing applications, positioning them as a compelling alternative in the field.</w:t>
      </w:r>
      <w:r w:rsidR="00C04A14">
        <w:t xml:space="preserve"> </w:t>
      </w:r>
      <w:r w:rsidR="00D73677" w:rsidRPr="00CD4A5A">
        <w:rPr>
          <w:color w:val="000000" w:themeColor="text1"/>
        </w:rPr>
        <w:t>This is based on the relative increase of BFTOF over NBTOF, calculated using:</w:t>
      </w:r>
    </w:p>
    <w:p w14:paraId="69B32D11" w14:textId="58357CDB" w:rsidR="00D73677" w:rsidRPr="00CD4A5A" w:rsidRDefault="00D73677" w:rsidP="00D73677">
      <w:pPr>
        <w:pStyle w:val="IJNEAMParagraph"/>
        <w:rPr>
          <w:color w:val="000000" w:themeColor="text1"/>
        </w:rPr>
      </w:pPr>
      <m:oMathPara>
        <m:oMath>
          <m:r>
            <w:rPr>
              <w:rFonts w:ascii="Cambria Math" w:hAnsi="Cambria Math"/>
              <w:color w:val="000000" w:themeColor="text1"/>
            </w:rPr>
            <m:t xml:space="preserve">Sensitivity Increase </m:t>
          </m:r>
          <m:d>
            <m:dPr>
              <m:ctrlPr>
                <w:rPr>
                  <w:rFonts w:ascii="Cambria Math" w:hAnsi="Cambria Math"/>
                  <w:i/>
                  <w:color w:val="000000" w:themeColor="text1"/>
                </w:rPr>
              </m:ctrlPr>
            </m:dPr>
            <m:e>
              <m:r>
                <w:rPr>
                  <w:rFonts w:ascii="Cambria Math" w:hAnsi="Cambria Math"/>
                  <w:color w:val="000000" w:themeColor="text1"/>
                </w:rPr>
                <m:t>%</m:t>
              </m:r>
            </m:e>
          </m:d>
          <m:r>
            <w:rPr>
              <w:rFonts w:ascii="Cambria Math" w:hAnsi="Cambria Math"/>
              <w:color w:val="000000" w:themeColor="text1"/>
            </w:rPr>
            <m:t xml:space="preserve">= </m:t>
          </m:r>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0.00195-0.000122286</m:t>
                  </m:r>
                </m:num>
                <m:den>
                  <m:r>
                    <w:rPr>
                      <w:rFonts w:ascii="Cambria Math" w:hAnsi="Cambria Math"/>
                      <w:color w:val="000000" w:themeColor="text1"/>
                    </w:rPr>
                    <m:t>0.000122286</m:t>
                  </m:r>
                </m:den>
              </m:f>
            </m:e>
          </m:d>
          <m:r>
            <w:rPr>
              <w:rFonts w:ascii="Cambria Math" w:hAnsi="Cambria Math"/>
              <w:color w:val="000000" w:themeColor="text1"/>
            </w:rPr>
            <m:t xml:space="preserve"> ×100 ≈1494.72</m:t>
          </m:r>
        </m:oMath>
      </m:oMathPara>
    </w:p>
    <w:p w14:paraId="7A009F59" w14:textId="77777777" w:rsidR="00D73677" w:rsidRPr="00CD4A5A" w:rsidRDefault="00D73677" w:rsidP="005609C4">
      <w:pPr>
        <w:pStyle w:val="IJNEAMParagraph"/>
        <w:rPr>
          <w:color w:val="000000" w:themeColor="text1"/>
        </w:rPr>
      </w:pPr>
    </w:p>
    <w:p w14:paraId="1EC0854F" w14:textId="73A88C15" w:rsidR="005B74A9" w:rsidRDefault="001F7ADE" w:rsidP="00497289">
      <w:pPr>
        <w:pStyle w:val="IJNEAMParagraph"/>
        <w:spacing w:after="0"/>
      </w:pPr>
      <w:r w:rsidRPr="001A77E2">
        <w:rPr>
          <w:noProof/>
          <w:lang w:val="x-none" w:eastAsia="x-none"/>
        </w:rPr>
        <w:drawing>
          <wp:inline distT="0" distB="0" distL="0" distR="0" wp14:anchorId="2412EC3F" wp14:editId="7F23F02F">
            <wp:extent cx="3208924" cy="2551683"/>
            <wp:effectExtent l="0" t="0" r="0" b="1270"/>
            <wp:docPr id="74155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5183" name="Picture 1"/>
                    <pic:cNvPicPr/>
                  </pic:nvPicPr>
                  <pic:blipFill>
                    <a:blip r:embed="rId28"/>
                    <a:srcRect t="1916" b="1916"/>
                    <a:stretch>
                      <a:fillRect/>
                    </a:stretch>
                  </pic:blipFill>
                  <pic:spPr bwMode="auto">
                    <a:xfrm>
                      <a:off x="0" y="0"/>
                      <a:ext cx="3208924" cy="2551683"/>
                    </a:xfrm>
                    <a:prstGeom prst="rect">
                      <a:avLst/>
                    </a:prstGeom>
                    <a:ln>
                      <a:noFill/>
                    </a:ln>
                    <a:extLst>
                      <a:ext uri="{53640926-AAD7-44D8-BBD7-CCE9431645EC}">
                        <a14:shadowObscured xmlns:a14="http://schemas.microsoft.com/office/drawing/2010/main"/>
                      </a:ext>
                    </a:extLst>
                  </pic:spPr>
                </pic:pic>
              </a:graphicData>
            </a:graphic>
          </wp:inline>
        </w:drawing>
      </w:r>
    </w:p>
    <w:p w14:paraId="34A23348" w14:textId="77777777" w:rsidR="00A004B8" w:rsidRDefault="002A4B8D" w:rsidP="00497289">
      <w:pPr>
        <w:pStyle w:val="IJNEAMParagraph"/>
        <w:spacing w:after="0"/>
        <w:jc w:val="center"/>
      </w:pPr>
      <w:r>
        <w:t>(a)</w:t>
      </w:r>
    </w:p>
    <w:p w14:paraId="720CC2A4" w14:textId="76D71735" w:rsidR="00646CBF" w:rsidRDefault="00646CBF" w:rsidP="00497289">
      <w:pPr>
        <w:pStyle w:val="IJNEAMParagraph"/>
        <w:spacing w:after="0"/>
        <w:jc w:val="center"/>
      </w:pPr>
      <w:r w:rsidRPr="00AB3B9E">
        <w:rPr>
          <w:noProof/>
          <w:lang w:val="x-none" w:eastAsia="x-none"/>
        </w:rPr>
        <w:lastRenderedPageBreak/>
        <w:drawing>
          <wp:inline distT="0" distB="0" distL="0" distR="0" wp14:anchorId="41F856C9" wp14:editId="61050270">
            <wp:extent cx="3208655" cy="2590710"/>
            <wp:effectExtent l="0" t="0" r="0" b="635"/>
            <wp:docPr id="1809689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89995" name="Picture 1"/>
                    <pic:cNvPicPr/>
                  </pic:nvPicPr>
                  <pic:blipFill>
                    <a:blip r:embed="rId29"/>
                    <a:srcRect t="2755" b="2755"/>
                    <a:stretch>
                      <a:fillRect/>
                    </a:stretch>
                  </pic:blipFill>
                  <pic:spPr bwMode="auto">
                    <a:xfrm>
                      <a:off x="0" y="0"/>
                      <a:ext cx="3208655" cy="2590710"/>
                    </a:xfrm>
                    <a:prstGeom prst="rect">
                      <a:avLst/>
                    </a:prstGeom>
                    <a:ln>
                      <a:noFill/>
                    </a:ln>
                    <a:extLst>
                      <a:ext uri="{53640926-AAD7-44D8-BBD7-CCE9431645EC}">
                        <a14:shadowObscured xmlns:a14="http://schemas.microsoft.com/office/drawing/2010/main"/>
                      </a:ext>
                    </a:extLst>
                  </pic:spPr>
                </pic:pic>
              </a:graphicData>
            </a:graphic>
          </wp:inline>
        </w:drawing>
      </w:r>
    </w:p>
    <w:p w14:paraId="03778FCF" w14:textId="0A19842A" w:rsidR="002A4B8D" w:rsidRDefault="002A4B8D" w:rsidP="002A4B8D">
      <w:pPr>
        <w:pStyle w:val="IJNEAMParagraph"/>
        <w:jc w:val="center"/>
      </w:pPr>
      <w:r>
        <w:t>(b)</w:t>
      </w:r>
    </w:p>
    <w:p w14:paraId="701E0332" w14:textId="0A91BB1A" w:rsidR="00BE7E49" w:rsidRDefault="00BE7E49" w:rsidP="00BE7E49">
      <w:pPr>
        <w:pStyle w:val="IJNEAMFigureCaption"/>
      </w:pPr>
      <w:r w:rsidRPr="009C4BAC">
        <w:rPr>
          <w:b/>
          <w:bCs/>
        </w:rPr>
        <w:t xml:space="preserve">Figure </w:t>
      </w:r>
      <w:r w:rsidRPr="009C4BAC">
        <w:rPr>
          <w:b/>
          <w:bCs/>
        </w:rPr>
        <w:fldChar w:fldCharType="begin"/>
      </w:r>
      <w:r w:rsidRPr="009C4BAC">
        <w:rPr>
          <w:b/>
          <w:bCs/>
        </w:rPr>
        <w:instrText xml:space="preserve"> SEQ Figure \* ARABIC </w:instrText>
      </w:r>
      <w:r w:rsidRPr="009C4BAC">
        <w:rPr>
          <w:b/>
          <w:bCs/>
        </w:rPr>
        <w:fldChar w:fldCharType="separate"/>
      </w:r>
      <w:r w:rsidR="002F2253">
        <w:rPr>
          <w:b/>
          <w:bCs/>
          <w:noProof/>
        </w:rPr>
        <w:t>7</w:t>
      </w:r>
      <w:r w:rsidRPr="009C4BAC">
        <w:rPr>
          <w:b/>
          <w:bCs/>
        </w:rPr>
        <w:fldChar w:fldCharType="end"/>
      </w:r>
      <w:r>
        <w:t xml:space="preserve">. </w:t>
      </w:r>
      <w:r w:rsidR="004F65AA">
        <w:t xml:space="preserve">Calibration curve for </w:t>
      </w:r>
      <w:r w:rsidR="00631A49">
        <w:t xml:space="preserve">cuvette, tapered optical fiber and biofunctionalized tapered optical fiber using (a) intensity and (b) </w:t>
      </w:r>
      <w:r w:rsidR="000A194A">
        <w:t xml:space="preserve">absorbance </w:t>
      </w:r>
      <w:r w:rsidR="00631A49">
        <w:t>measurement</w:t>
      </w:r>
    </w:p>
    <w:p w14:paraId="709FCC49" w14:textId="77777777" w:rsidR="00A004B8" w:rsidRDefault="00A004B8" w:rsidP="00A004B8">
      <w:pPr>
        <w:pStyle w:val="IJNEAMParagraph"/>
      </w:pPr>
      <w:r w:rsidRPr="00FF18E8">
        <w:t>Table 2 presents a comparison of BSA detection across four previous studies using optical methods. Although the photothermal lens technique demonstrates superior sensitivity compared to this study, it requires a significantly larger analyte volume of 1.4 mL. In contrast, this study successfully detects BSA with only 120 µL of analyte using a bio-functionalized tapered optical fiber sensor</w:t>
      </w:r>
      <w:r>
        <w:t xml:space="preserve">. </w:t>
      </w:r>
    </w:p>
    <w:p w14:paraId="4CC5B7AC" w14:textId="38A731DD" w:rsidR="00EF6389" w:rsidRDefault="00EF6389" w:rsidP="00EF6389">
      <w:pPr>
        <w:pStyle w:val="IJNEAMTableCaption"/>
      </w:pPr>
      <w:r w:rsidRPr="008C3F6F">
        <w:rPr>
          <w:b/>
          <w:bCs/>
        </w:rPr>
        <w:t xml:space="preserve">Table </w:t>
      </w:r>
      <w:r w:rsidRPr="008C3F6F">
        <w:rPr>
          <w:b/>
          <w:bCs/>
        </w:rPr>
        <w:fldChar w:fldCharType="begin"/>
      </w:r>
      <w:r w:rsidRPr="008C3F6F">
        <w:rPr>
          <w:b/>
          <w:bCs/>
        </w:rPr>
        <w:instrText xml:space="preserve"> SEQ Table \* ARABIC </w:instrText>
      </w:r>
      <w:r w:rsidRPr="008C3F6F">
        <w:rPr>
          <w:b/>
          <w:bCs/>
        </w:rPr>
        <w:fldChar w:fldCharType="separate"/>
      </w:r>
      <w:r w:rsidR="002F2253">
        <w:rPr>
          <w:b/>
          <w:bCs/>
          <w:noProof/>
        </w:rPr>
        <w:t>2</w:t>
      </w:r>
      <w:r w:rsidRPr="008C3F6F">
        <w:rPr>
          <w:b/>
          <w:bCs/>
        </w:rPr>
        <w:fldChar w:fldCharType="end"/>
      </w:r>
      <w:r w:rsidRPr="008C3F6F">
        <w:t xml:space="preserve"> </w:t>
      </w:r>
      <w:r w:rsidR="000A348F">
        <w:t xml:space="preserve">The reported </w:t>
      </w:r>
      <w:r w:rsidR="00A42E81">
        <w:t xml:space="preserve">BSA detection </w:t>
      </w:r>
      <w:r w:rsidR="00BF2895">
        <w:t xml:space="preserve">by </w:t>
      </w:r>
      <w:r w:rsidR="000A348F">
        <w:t xml:space="preserve">optical </w:t>
      </w:r>
      <w:r w:rsidR="00BF2895">
        <w:t>sensor</w:t>
      </w:r>
      <w:r w:rsidR="003E7170">
        <w:t xml:space="preserve"> </w:t>
      </w:r>
    </w:p>
    <w:p w14:paraId="294F690C" w14:textId="77777777" w:rsidR="008A183B" w:rsidRDefault="008A183B" w:rsidP="00EF6389">
      <w:pPr>
        <w:pStyle w:val="IJNEAMTableCaption"/>
      </w:pPr>
    </w:p>
    <w:tbl>
      <w:tblPr>
        <w:tblStyle w:val="TableGrid"/>
        <w:tblW w:w="0" w:type="auto"/>
        <w:tblLayout w:type="fixed"/>
        <w:tblLook w:val="04A0" w:firstRow="1" w:lastRow="0" w:firstColumn="1" w:lastColumn="0" w:noHBand="0" w:noVBand="1"/>
      </w:tblPr>
      <w:tblGrid>
        <w:gridCol w:w="421"/>
        <w:gridCol w:w="1134"/>
        <w:gridCol w:w="992"/>
        <w:gridCol w:w="992"/>
        <w:gridCol w:w="851"/>
        <w:gridCol w:w="567"/>
      </w:tblGrid>
      <w:tr w:rsidR="000A2049" w:rsidRPr="00800D2F" w14:paraId="17290332" w14:textId="77777777" w:rsidTr="00800D2F">
        <w:tc>
          <w:tcPr>
            <w:tcW w:w="421" w:type="dxa"/>
          </w:tcPr>
          <w:p w14:paraId="572D90F4" w14:textId="77777777" w:rsidR="000A2049" w:rsidRPr="008A183B" w:rsidRDefault="000A2049" w:rsidP="007B2D0C">
            <w:pPr>
              <w:pStyle w:val="IJNEAMFigureCaption"/>
              <w:rPr>
                <w:b/>
                <w:bCs/>
                <w:sz w:val="16"/>
                <w:szCs w:val="16"/>
              </w:rPr>
            </w:pPr>
            <w:r w:rsidRPr="008A183B">
              <w:rPr>
                <w:b/>
                <w:bCs/>
                <w:sz w:val="16"/>
                <w:szCs w:val="16"/>
              </w:rPr>
              <w:t>No</w:t>
            </w:r>
          </w:p>
        </w:tc>
        <w:tc>
          <w:tcPr>
            <w:tcW w:w="1134" w:type="dxa"/>
          </w:tcPr>
          <w:p w14:paraId="0A1ED575" w14:textId="77777777" w:rsidR="000A2049" w:rsidRPr="008A183B" w:rsidRDefault="000A2049" w:rsidP="007B2D0C">
            <w:pPr>
              <w:pStyle w:val="IJNEAMFigureCaption"/>
              <w:rPr>
                <w:b/>
                <w:bCs/>
                <w:sz w:val="16"/>
                <w:szCs w:val="16"/>
              </w:rPr>
            </w:pPr>
            <w:r w:rsidRPr="008A183B">
              <w:rPr>
                <w:b/>
                <w:bCs/>
                <w:sz w:val="16"/>
                <w:szCs w:val="16"/>
              </w:rPr>
              <w:t>Optical Substrate</w:t>
            </w:r>
          </w:p>
        </w:tc>
        <w:tc>
          <w:tcPr>
            <w:tcW w:w="992" w:type="dxa"/>
          </w:tcPr>
          <w:p w14:paraId="5BEFA3CC" w14:textId="77777777" w:rsidR="000A2049" w:rsidRPr="008A183B" w:rsidRDefault="000A2049" w:rsidP="007B2D0C">
            <w:pPr>
              <w:pStyle w:val="IJNEAMFigureCaption"/>
              <w:rPr>
                <w:b/>
                <w:bCs/>
                <w:sz w:val="16"/>
                <w:szCs w:val="16"/>
              </w:rPr>
            </w:pPr>
            <w:r w:rsidRPr="008A183B">
              <w:rPr>
                <w:b/>
                <w:bCs/>
                <w:sz w:val="16"/>
                <w:szCs w:val="16"/>
              </w:rPr>
              <w:t>Detection Method</w:t>
            </w:r>
          </w:p>
        </w:tc>
        <w:tc>
          <w:tcPr>
            <w:tcW w:w="992" w:type="dxa"/>
          </w:tcPr>
          <w:p w14:paraId="136BAF17" w14:textId="77777777" w:rsidR="000A2049" w:rsidRPr="008A183B" w:rsidRDefault="000A2049" w:rsidP="007B2D0C">
            <w:pPr>
              <w:pStyle w:val="IJNEAMFigureCaption"/>
              <w:rPr>
                <w:b/>
                <w:bCs/>
                <w:sz w:val="16"/>
                <w:szCs w:val="16"/>
              </w:rPr>
            </w:pPr>
            <w:r w:rsidRPr="008A183B">
              <w:rPr>
                <w:b/>
                <w:bCs/>
                <w:sz w:val="16"/>
                <w:szCs w:val="16"/>
              </w:rPr>
              <w:t>Detection Range</w:t>
            </w:r>
          </w:p>
        </w:tc>
        <w:tc>
          <w:tcPr>
            <w:tcW w:w="851" w:type="dxa"/>
          </w:tcPr>
          <w:p w14:paraId="2528C100" w14:textId="77777777" w:rsidR="000A2049" w:rsidRPr="008A183B" w:rsidRDefault="000A2049" w:rsidP="007B2D0C">
            <w:pPr>
              <w:pStyle w:val="IJNEAMFigureCaption"/>
              <w:rPr>
                <w:b/>
                <w:bCs/>
                <w:sz w:val="16"/>
                <w:szCs w:val="16"/>
              </w:rPr>
            </w:pPr>
            <w:r w:rsidRPr="008A183B">
              <w:rPr>
                <w:b/>
                <w:bCs/>
                <w:sz w:val="16"/>
                <w:szCs w:val="16"/>
              </w:rPr>
              <w:t>Sensitivity</w:t>
            </w:r>
          </w:p>
        </w:tc>
        <w:tc>
          <w:tcPr>
            <w:tcW w:w="567" w:type="dxa"/>
          </w:tcPr>
          <w:p w14:paraId="2780E6F5" w14:textId="77777777" w:rsidR="000A2049" w:rsidRPr="008A183B" w:rsidRDefault="000A2049" w:rsidP="007B2D0C">
            <w:pPr>
              <w:pStyle w:val="IJNEAMFigureCaption"/>
              <w:rPr>
                <w:b/>
                <w:bCs/>
                <w:sz w:val="16"/>
                <w:szCs w:val="16"/>
              </w:rPr>
            </w:pPr>
            <w:r w:rsidRPr="008A183B">
              <w:rPr>
                <w:b/>
                <w:bCs/>
                <w:sz w:val="16"/>
                <w:szCs w:val="16"/>
              </w:rPr>
              <w:t>Ref</w:t>
            </w:r>
          </w:p>
        </w:tc>
      </w:tr>
      <w:tr w:rsidR="000A2049" w:rsidRPr="00800D2F" w14:paraId="433C1C80" w14:textId="77777777" w:rsidTr="00800D2F">
        <w:tc>
          <w:tcPr>
            <w:tcW w:w="421" w:type="dxa"/>
          </w:tcPr>
          <w:p w14:paraId="1B6C65DD" w14:textId="77777777" w:rsidR="000A2049" w:rsidRPr="008A183B" w:rsidRDefault="000A2049" w:rsidP="007B2D0C">
            <w:pPr>
              <w:pStyle w:val="IJNEAMFigureCaption"/>
              <w:rPr>
                <w:sz w:val="16"/>
                <w:szCs w:val="16"/>
              </w:rPr>
            </w:pPr>
            <w:r w:rsidRPr="008A183B">
              <w:rPr>
                <w:sz w:val="16"/>
                <w:szCs w:val="16"/>
              </w:rPr>
              <w:t>1</w:t>
            </w:r>
          </w:p>
        </w:tc>
        <w:tc>
          <w:tcPr>
            <w:tcW w:w="1134" w:type="dxa"/>
          </w:tcPr>
          <w:p w14:paraId="288C9AD1" w14:textId="77777777" w:rsidR="000A2049" w:rsidRPr="008A183B" w:rsidRDefault="000A2049" w:rsidP="007B2D0C">
            <w:pPr>
              <w:pStyle w:val="IJNEAMFigureCaption"/>
              <w:rPr>
                <w:sz w:val="16"/>
                <w:szCs w:val="16"/>
              </w:rPr>
            </w:pPr>
            <w:r w:rsidRPr="008A183B">
              <w:rPr>
                <w:sz w:val="16"/>
                <w:szCs w:val="16"/>
              </w:rPr>
              <w:t>Hollow−core micro-structured optical waveguides</w:t>
            </w:r>
          </w:p>
        </w:tc>
        <w:tc>
          <w:tcPr>
            <w:tcW w:w="992" w:type="dxa"/>
          </w:tcPr>
          <w:p w14:paraId="351BFB00" w14:textId="77777777" w:rsidR="000A2049" w:rsidRPr="008A183B" w:rsidRDefault="000A2049" w:rsidP="007B2D0C">
            <w:pPr>
              <w:pStyle w:val="IJNEAMFigureCaption"/>
              <w:rPr>
                <w:sz w:val="16"/>
                <w:szCs w:val="16"/>
              </w:rPr>
            </w:pPr>
            <w:r w:rsidRPr="008A183B">
              <w:rPr>
                <w:sz w:val="16"/>
                <w:szCs w:val="16"/>
              </w:rPr>
              <w:t>Transmission</w:t>
            </w:r>
          </w:p>
        </w:tc>
        <w:tc>
          <w:tcPr>
            <w:tcW w:w="992" w:type="dxa"/>
          </w:tcPr>
          <w:p w14:paraId="0D78F5E3" w14:textId="7A423C43" w:rsidR="000A2049" w:rsidRPr="008A183B" w:rsidRDefault="009525E0" w:rsidP="007B2D0C">
            <w:pPr>
              <w:pStyle w:val="IJNEAMFigureCaption"/>
              <w:rPr>
                <w:sz w:val="16"/>
                <w:szCs w:val="16"/>
              </w:rPr>
            </w:pPr>
            <w:r>
              <w:rPr>
                <w:sz w:val="16"/>
                <w:szCs w:val="16"/>
              </w:rPr>
              <w:t>1000, 2000, 4000</w:t>
            </w:r>
            <w:r w:rsidR="000A2049" w:rsidRPr="008A183B">
              <w:rPr>
                <w:sz w:val="16"/>
                <w:szCs w:val="16"/>
              </w:rPr>
              <w:t xml:space="preserve">, </w:t>
            </w:r>
            <w:r>
              <w:rPr>
                <w:sz w:val="16"/>
                <w:szCs w:val="16"/>
              </w:rPr>
              <w:t xml:space="preserve">6000 </w:t>
            </w:r>
            <w:r w:rsidR="000A2049" w:rsidRPr="008A183B">
              <w:rPr>
                <w:sz w:val="16"/>
                <w:szCs w:val="16"/>
              </w:rPr>
              <w:t>mg/</w:t>
            </w:r>
            <w:r>
              <w:rPr>
                <w:sz w:val="16"/>
                <w:szCs w:val="16"/>
              </w:rPr>
              <w:t>dl</w:t>
            </w:r>
          </w:p>
        </w:tc>
        <w:tc>
          <w:tcPr>
            <w:tcW w:w="851" w:type="dxa"/>
          </w:tcPr>
          <w:p w14:paraId="642C7E24" w14:textId="77777777" w:rsidR="00D12E3A" w:rsidRPr="008A183B" w:rsidRDefault="000A2049" w:rsidP="007B2D0C">
            <w:pPr>
              <w:pStyle w:val="IJNEAMFigureCaption"/>
              <w:rPr>
                <w:sz w:val="16"/>
                <w:szCs w:val="16"/>
              </w:rPr>
            </w:pPr>
            <w:r w:rsidRPr="008A183B">
              <w:rPr>
                <w:sz w:val="16"/>
                <w:szCs w:val="16"/>
              </w:rPr>
              <w:t xml:space="preserve">6.44 </w:t>
            </w:r>
          </w:p>
          <w:p w14:paraId="747DB27E" w14:textId="31AA0FCA" w:rsidR="000A2049" w:rsidRPr="008A183B" w:rsidRDefault="000A2049" w:rsidP="007B2D0C">
            <w:pPr>
              <w:pStyle w:val="IJNEAMFigureCaption"/>
              <w:rPr>
                <w:sz w:val="16"/>
                <w:szCs w:val="16"/>
              </w:rPr>
            </w:pPr>
            <w:r w:rsidRPr="008A183B">
              <w:rPr>
                <w:sz w:val="16"/>
                <w:szCs w:val="16"/>
              </w:rPr>
              <w:t>mL/mg</w:t>
            </w:r>
          </w:p>
        </w:tc>
        <w:tc>
          <w:tcPr>
            <w:tcW w:w="567" w:type="dxa"/>
          </w:tcPr>
          <w:p w14:paraId="15359259" w14:textId="3AFF5A0F" w:rsidR="000A2049" w:rsidRPr="008A183B" w:rsidRDefault="000A2049" w:rsidP="007B2D0C">
            <w:pPr>
              <w:pStyle w:val="IJNEAMFigureCaption"/>
              <w:rPr>
                <w:sz w:val="16"/>
                <w:szCs w:val="16"/>
              </w:rPr>
            </w:pPr>
            <w:r w:rsidRPr="008A183B">
              <w:rPr>
                <w:sz w:val="16"/>
                <w:szCs w:val="16"/>
              </w:rPr>
              <w:fldChar w:fldCharType="begin" w:fldLock="1"/>
            </w:r>
            <w:r w:rsidR="00280E5C">
              <w:rPr>
                <w:sz w:val="16"/>
                <w:szCs w:val="16"/>
              </w:rPr>
              <w:instrText>ADDIN CSL_CITATION {"citationItems":[{"id":"ITEM-1","itemData":{"DOI":"10.1016/j.colsurfb.2023.113705","ISBN":"0009000763","ISSN":"18734367","PMID":"38194837","abstract":"Hollow−core microstructured optical waveguides (HC−MOW) have recently emerged in sensing technologies, including the gas and liquid detection for industrial as well as clinical applications. Antiresonant HC−MOW provide capabilities for applications in refractive index (RI) sensing, while the long optical path for analyte−light interaction in HC−MOW leads to increased sensitivity of sensor based on Raman scattering signal measurements. In this study, we developed a two−in−one sensor device using HC−MOW for RI and Raman scattering detection. The performance of the sensor was evaluated by characterizing protein−copolymer multicomponent colloids, specifically, bovine serum albumin (BSA) and poly(N − vinyl−2 −pyrrolidone−co−acrylic acid) P(VP−AA) nano−sized complexes and microbubbles of the corresponding shell. Monocomponent solutions showed linear dependencies of RI and characteristic Raman peak intensities on mass concentration. Multicomponent Raman sensing of BSA@P(VP−AA) complexes and microbubbles revealed that changes in P(VP−AA) characteristic peak intensities can describe interactions between components needed to produce colloid systems. RI sensing of multicomponent colloids demonstrated linear dependence on total mass concentrations for BSA@P(VP−AA) complexes, while corresponding BSA@P(VP−AA) microbubbles can be detected with concentrations as high as 4.0 × 108 MB/mL. Therefore, the developed two−in−one sensor of RI and Raman scattering can be used the robust characterization of albumin−based colloids designed for therapeutic and diagnostic needs.","author":[{"dropping-particle":"","family":"Merdalimova","given":"Anastasiia","non-dropping-particle":"","parse-names":false,"suffix":""},{"dropping-particle":"","family":"Barmin","given":"Roman","non-dropping-particle":"","parse-names":false,"suffix":""},{"dropping-particle":"","family":"Vorobev","given":"Viktor","non-dropping-particle":"","parse-names":false,"suffix":""},{"dropping-particle":"","family":"Aleksandrov","given":"Artem","non-dropping-particle":"","parse-names":false,"suffix":""},{"dropping-particle":"","family":"Terentyeva","given":"Daria","non-dropping-particle":"","parse-names":false,"suffix":""},{"dropping-particle":"","family":"Estifeeva","given":"Tatiana","non-dropping-particle":"","parse-names":false,"suffix":""},{"dropping-particle":"","family":"Chernyshev","given":"Vasiliy","non-dropping-particle":"","parse-names":false,"suffix":""},{"dropping-particle":"","family":"German","given":"Sergey","non-dropping-particle":"","parse-names":false,"suffix":""},{"dropping-particle":"","family":"Maslov","given":"Oleg","non-dropping-particle":"","parse-names":false,"suffix":""},{"dropping-particle":"","family":"Skibina","given":"Yulia","non-dropping-particle":"","parse-names":false,"suffix":""},{"dropping-particle":"","family":"Rudakovskaya","given":"Polina","non-dropping-particle":"","parse-names":false,"suffix":""},{"dropping-particle":"","family":"Gorin","given":"Dmitry","non-dropping-particle":"","parse-names":false,"suffix":""}],"container-title":"Colloids and Surfaces B: Biointerfaces","id":"ITEM-1","issue":"December 2023","issued":{"date-parts":[["2024"]]},"page":"113705","publisher":"Elsevier B.V.","title":"Two-in-one sensor of refractive index and Raman scattering using hollow−core microstructured optical waveguides for colloid characterization","type":"article-journal","volume":"234"},"uris":["http://www.mendeley.com/documents/?uuid=8070324b-b209-4f61-8cdd-2d1d1922c706"]}],"mendeley":{"formattedCitation":"[27]","plainTextFormattedCitation":"[27]","previouslyFormattedCitation":"[26]"},"properties":{"noteIndex":0},"schema":"https://github.com/citation-style-language/schema/raw/master/csl-citation.json"}</w:instrText>
            </w:r>
            <w:r w:rsidRPr="008A183B">
              <w:rPr>
                <w:sz w:val="16"/>
                <w:szCs w:val="16"/>
              </w:rPr>
              <w:fldChar w:fldCharType="separate"/>
            </w:r>
            <w:r w:rsidR="00280E5C" w:rsidRPr="00280E5C">
              <w:rPr>
                <w:noProof/>
                <w:sz w:val="16"/>
                <w:szCs w:val="16"/>
              </w:rPr>
              <w:t>[27]</w:t>
            </w:r>
            <w:r w:rsidRPr="008A183B">
              <w:rPr>
                <w:sz w:val="16"/>
                <w:szCs w:val="16"/>
              </w:rPr>
              <w:fldChar w:fldCharType="end"/>
            </w:r>
            <w:r w:rsidR="00264B90" w:rsidRPr="008A183B">
              <w:rPr>
                <w:sz w:val="16"/>
                <w:szCs w:val="16"/>
              </w:rPr>
              <w:t xml:space="preserve"> </w:t>
            </w:r>
          </w:p>
        </w:tc>
      </w:tr>
      <w:tr w:rsidR="000A2049" w:rsidRPr="00800D2F" w14:paraId="0038C0C9" w14:textId="77777777" w:rsidTr="00800D2F">
        <w:tc>
          <w:tcPr>
            <w:tcW w:w="421" w:type="dxa"/>
          </w:tcPr>
          <w:p w14:paraId="741E2EDE" w14:textId="77777777" w:rsidR="000A2049" w:rsidRPr="008A183B" w:rsidRDefault="000A2049" w:rsidP="007B2D0C">
            <w:pPr>
              <w:pStyle w:val="IJNEAMFigureCaption"/>
              <w:rPr>
                <w:sz w:val="16"/>
                <w:szCs w:val="16"/>
              </w:rPr>
            </w:pPr>
            <w:r w:rsidRPr="008A183B">
              <w:rPr>
                <w:sz w:val="16"/>
                <w:szCs w:val="16"/>
              </w:rPr>
              <w:t>2</w:t>
            </w:r>
          </w:p>
        </w:tc>
        <w:tc>
          <w:tcPr>
            <w:tcW w:w="1134" w:type="dxa"/>
          </w:tcPr>
          <w:p w14:paraId="44F8E8B8" w14:textId="77777777" w:rsidR="000A2049" w:rsidRPr="008A183B" w:rsidRDefault="000A2049" w:rsidP="007B2D0C">
            <w:pPr>
              <w:pStyle w:val="IJNEAMFigureCaption"/>
              <w:rPr>
                <w:sz w:val="16"/>
                <w:szCs w:val="16"/>
              </w:rPr>
            </w:pPr>
            <w:r w:rsidRPr="008A183B">
              <w:rPr>
                <w:sz w:val="16"/>
                <w:szCs w:val="16"/>
              </w:rPr>
              <w:t>quartz semi-microcell</w:t>
            </w:r>
          </w:p>
        </w:tc>
        <w:tc>
          <w:tcPr>
            <w:tcW w:w="992" w:type="dxa"/>
          </w:tcPr>
          <w:p w14:paraId="1C04AE3E" w14:textId="77777777" w:rsidR="000A2049" w:rsidRPr="008A183B" w:rsidRDefault="000A2049" w:rsidP="007B2D0C">
            <w:pPr>
              <w:pStyle w:val="IJNEAMFigureCaption"/>
              <w:rPr>
                <w:sz w:val="16"/>
                <w:szCs w:val="16"/>
              </w:rPr>
            </w:pPr>
            <w:r w:rsidRPr="008A183B">
              <w:rPr>
                <w:sz w:val="16"/>
                <w:szCs w:val="16"/>
              </w:rPr>
              <w:t>Photothermal lens signal</w:t>
            </w:r>
          </w:p>
        </w:tc>
        <w:tc>
          <w:tcPr>
            <w:tcW w:w="992" w:type="dxa"/>
          </w:tcPr>
          <w:p w14:paraId="7A9D3A5D" w14:textId="523257BA" w:rsidR="000A2049" w:rsidRPr="008A183B" w:rsidRDefault="009525E0" w:rsidP="007B2D0C">
            <w:pPr>
              <w:pStyle w:val="IJNEAMFigureCaption"/>
              <w:rPr>
                <w:sz w:val="16"/>
                <w:szCs w:val="16"/>
              </w:rPr>
            </w:pPr>
            <w:r>
              <w:rPr>
                <w:sz w:val="16"/>
                <w:szCs w:val="16"/>
              </w:rPr>
              <w:t xml:space="preserve">0.05-7.5 mg/dl </w:t>
            </w:r>
          </w:p>
        </w:tc>
        <w:tc>
          <w:tcPr>
            <w:tcW w:w="851" w:type="dxa"/>
          </w:tcPr>
          <w:p w14:paraId="7CD50AAD" w14:textId="77777777" w:rsidR="000A2049" w:rsidRPr="008A183B" w:rsidRDefault="000A2049" w:rsidP="007B2D0C">
            <w:pPr>
              <w:pStyle w:val="IJNEAMFigureCaption"/>
              <w:rPr>
                <w:sz w:val="16"/>
                <w:szCs w:val="16"/>
              </w:rPr>
            </w:pPr>
            <w:r w:rsidRPr="008A183B">
              <w:rPr>
                <w:sz w:val="16"/>
                <w:szCs w:val="16"/>
              </w:rPr>
              <w:t>0.0212 a.u./(μg/ml)</w:t>
            </w:r>
          </w:p>
        </w:tc>
        <w:tc>
          <w:tcPr>
            <w:tcW w:w="567" w:type="dxa"/>
          </w:tcPr>
          <w:p w14:paraId="140789A8" w14:textId="14DF37AE" w:rsidR="000A2049" w:rsidRPr="008A183B" w:rsidRDefault="000A2049" w:rsidP="007B2D0C">
            <w:pPr>
              <w:pStyle w:val="IJNEAMFigureCaption"/>
              <w:rPr>
                <w:sz w:val="16"/>
                <w:szCs w:val="16"/>
              </w:rPr>
            </w:pPr>
            <w:r w:rsidRPr="008A183B">
              <w:rPr>
                <w:sz w:val="16"/>
                <w:szCs w:val="16"/>
              </w:rPr>
              <w:fldChar w:fldCharType="begin" w:fldLock="1"/>
            </w:r>
            <w:r w:rsidR="00280E5C">
              <w:rPr>
                <w:sz w:val="16"/>
                <w:szCs w:val="16"/>
              </w:rPr>
              <w:instrText>ADDIN CSL_CITATION {"citationItems":[{"id":"ITEM-1","itemData":{"DOI":"10.1016/j.ab.2020.113621","ISSN":"10960309","PMID":"32057729","abstract":"We report on a new sensitive method, for bovine serum albumin quantification, which is based on the use of methylene blue as a labelling agent combined with photothermal lens detection. In the presence of sodium dodecyl sulfate, methylene blue forms a dimer which can react with bovine serum albumin producing dedimerization. We found that, the photothermal signal decreases proportional to the concentration of bovine serum albumin added to the system composed by dodecyl sulfate and methylene blue. Therefore, the change of the signal intensity is linearly proportional to the concentration of bovine serum albumin. Under the optimized analytical conditions, used in this work, the photothermal signal is linearly dependent on the concentration of bovine serum albumin in the range of 0.5 × 10−6–7.5 × 10−5 gmL−1 with a regression coefficient R2 = 0.9954. The relative standard deviation for BSA determination at 3.5 × 10−5 gmL−1 (n = 5) is 2.3% and the achieved detection limit is 3.5 × 10−7 gmL−1.","author":[{"dropping-particle":"","family":"Behnaz Abbasgholi","given":"N. A.","non-dropping-particle":"","parse-names":false,"suffix":""},{"dropping-particle":"","family":"Shokoufi","given":"Nader","non-dropping-particle":"","parse-names":false,"suffix":""},{"dropping-particle":"","family":"Nouri Hajibaba","given":"Shafigh","non-dropping-particle":"","parse-names":false,"suffix":""}],"container-title":"Analytical Biochemistry","id":"ITEM-1","issue":"January","issued":{"date-parts":[["2020"]]},"page":"113621","publisher":"Elsevier","title":"Bovine serum albumin determination based on methylene blue detection by photothermal lens spectroscopy","type":"article-journal","volume":"594"},"uris":["http://www.mendeley.com/documents/?uuid=6e2f9e8b-28fd-4950-86f2-6538fcf4975f"]}],"mendeley":{"formattedCitation":"[28]","plainTextFormattedCitation":"[28]","previouslyFormattedCitation":"[27]"},"properties":{"noteIndex":0},"schema":"https://github.com/citation-style-language/schema/raw/master/csl-citation.json"}</w:instrText>
            </w:r>
            <w:r w:rsidRPr="008A183B">
              <w:rPr>
                <w:sz w:val="16"/>
                <w:szCs w:val="16"/>
              </w:rPr>
              <w:fldChar w:fldCharType="separate"/>
            </w:r>
            <w:r w:rsidR="00280E5C" w:rsidRPr="00280E5C">
              <w:rPr>
                <w:noProof/>
                <w:sz w:val="16"/>
                <w:szCs w:val="16"/>
              </w:rPr>
              <w:t>[28]</w:t>
            </w:r>
            <w:r w:rsidRPr="008A183B">
              <w:rPr>
                <w:sz w:val="16"/>
                <w:szCs w:val="16"/>
              </w:rPr>
              <w:fldChar w:fldCharType="end"/>
            </w:r>
            <w:r w:rsidR="002D055C" w:rsidRPr="008A183B">
              <w:rPr>
                <w:sz w:val="16"/>
                <w:szCs w:val="16"/>
              </w:rPr>
              <w:t xml:space="preserve"> </w:t>
            </w:r>
          </w:p>
        </w:tc>
      </w:tr>
      <w:tr w:rsidR="000A2049" w:rsidRPr="00800D2F" w14:paraId="1F9445EE" w14:textId="77777777" w:rsidTr="00800D2F">
        <w:tc>
          <w:tcPr>
            <w:tcW w:w="421" w:type="dxa"/>
          </w:tcPr>
          <w:p w14:paraId="1C488ED4" w14:textId="77777777" w:rsidR="000A2049" w:rsidRPr="008A183B" w:rsidRDefault="000A2049" w:rsidP="007B2D0C">
            <w:pPr>
              <w:pStyle w:val="IJNEAMFigureCaption"/>
              <w:rPr>
                <w:sz w:val="16"/>
                <w:szCs w:val="16"/>
              </w:rPr>
            </w:pPr>
            <w:r w:rsidRPr="008A183B">
              <w:rPr>
                <w:sz w:val="16"/>
                <w:szCs w:val="16"/>
              </w:rPr>
              <w:t>3</w:t>
            </w:r>
          </w:p>
        </w:tc>
        <w:tc>
          <w:tcPr>
            <w:tcW w:w="1134" w:type="dxa"/>
          </w:tcPr>
          <w:p w14:paraId="269C0A26" w14:textId="77777777" w:rsidR="000A2049" w:rsidRPr="008A183B" w:rsidRDefault="000A2049" w:rsidP="007B2D0C">
            <w:pPr>
              <w:pStyle w:val="IJNEAMFigureCaption"/>
              <w:rPr>
                <w:sz w:val="16"/>
                <w:szCs w:val="16"/>
              </w:rPr>
            </w:pPr>
            <w:r w:rsidRPr="008A183B">
              <w:rPr>
                <w:sz w:val="16"/>
                <w:szCs w:val="16"/>
              </w:rPr>
              <w:t>Cuvette</w:t>
            </w:r>
          </w:p>
        </w:tc>
        <w:tc>
          <w:tcPr>
            <w:tcW w:w="992" w:type="dxa"/>
          </w:tcPr>
          <w:p w14:paraId="4B3E1F55" w14:textId="77777777" w:rsidR="000A2049" w:rsidRPr="008A183B" w:rsidRDefault="000A2049" w:rsidP="007B2D0C">
            <w:pPr>
              <w:pStyle w:val="IJNEAMFigureCaption"/>
              <w:rPr>
                <w:sz w:val="16"/>
                <w:szCs w:val="16"/>
              </w:rPr>
            </w:pPr>
            <w:r w:rsidRPr="008A183B">
              <w:rPr>
                <w:sz w:val="16"/>
                <w:szCs w:val="16"/>
              </w:rPr>
              <w:t>Absorbance</w:t>
            </w:r>
          </w:p>
        </w:tc>
        <w:tc>
          <w:tcPr>
            <w:tcW w:w="992" w:type="dxa"/>
          </w:tcPr>
          <w:p w14:paraId="2944DD51" w14:textId="77777777" w:rsidR="000A2049" w:rsidRPr="008A183B" w:rsidRDefault="000A2049" w:rsidP="007B2D0C">
            <w:pPr>
              <w:pStyle w:val="IJNEAMFigureCaption"/>
              <w:rPr>
                <w:sz w:val="16"/>
                <w:szCs w:val="16"/>
              </w:rPr>
            </w:pPr>
            <w:r w:rsidRPr="008A183B">
              <w:rPr>
                <w:sz w:val="16"/>
                <w:szCs w:val="16"/>
              </w:rPr>
              <w:t>1,2,3,4,5,7.5, 10, 12.5, 15, 20, 25 and 50 nM</w:t>
            </w:r>
          </w:p>
        </w:tc>
        <w:tc>
          <w:tcPr>
            <w:tcW w:w="851" w:type="dxa"/>
          </w:tcPr>
          <w:p w14:paraId="51EB334F" w14:textId="77777777" w:rsidR="000A2049" w:rsidRPr="008A183B" w:rsidRDefault="000A2049" w:rsidP="007B2D0C">
            <w:pPr>
              <w:pStyle w:val="IJNEAMFigureCaption"/>
              <w:rPr>
                <w:sz w:val="16"/>
                <w:szCs w:val="16"/>
              </w:rPr>
            </w:pPr>
            <w:r w:rsidRPr="008A183B">
              <w:rPr>
                <w:sz w:val="16"/>
                <w:szCs w:val="16"/>
              </w:rPr>
              <w:t>-0.11835 (OD/nm)</w:t>
            </w:r>
          </w:p>
        </w:tc>
        <w:tc>
          <w:tcPr>
            <w:tcW w:w="567" w:type="dxa"/>
          </w:tcPr>
          <w:p w14:paraId="471C3118" w14:textId="0CCAC269" w:rsidR="000A2049" w:rsidRPr="008A183B" w:rsidRDefault="000A2049" w:rsidP="007B2D0C">
            <w:pPr>
              <w:pStyle w:val="IJNEAMFigureCaption"/>
              <w:rPr>
                <w:sz w:val="16"/>
                <w:szCs w:val="16"/>
              </w:rPr>
            </w:pPr>
            <w:r w:rsidRPr="008A183B">
              <w:rPr>
                <w:sz w:val="16"/>
                <w:szCs w:val="16"/>
              </w:rPr>
              <w:fldChar w:fldCharType="begin" w:fldLock="1"/>
            </w:r>
            <w:r w:rsidR="00280E5C">
              <w:rPr>
                <w:sz w:val="16"/>
                <w:szCs w:val="16"/>
              </w:rPr>
              <w:instrText>ADDIN CSL_CITATION {"citationItems":[{"id":"ITEM-1","itemData":{"DOI":"10.1039/d4ay01146e","ISSN":"17599679","abstract":"We report a simple and highly sensitive colorimetric method for the detection and quantification of proteins, based on the aggregation of ascorbic acid (AA) capped gold nanoparticles (AuNPs) by proteins. The interactions between our AuNPs and nine different proteins of various sizes and shapes (cytochrome C (12 kDa), lysozyme (14.3 kDa), myoglobin (17 kDa), human serum albumin (66 kDa), bovine serum albumin (66.4 kDa), human transferrin (80 kDa), aldolase (160 kDa), catalase (240 kDa), and human H-ferritin (500 kDa)) generated similar AuNPs-protein absorption spectra in a concentration-dependent manner in the range of 1-15 nM. Upon the addition of a protein, the UV-visible spectra of AuNPs-protein conjugates shifted from 524 nm for the AuNps alone to longer wavelength (600-750 nm) due to the presence of one of these proteins. This bathochromic shift is accompanied by a color change from a cherry red, to dark purple, and then light grey or colorless if excess protein has been added, indicating the formation of AuNPs-protein conjugates followed by protein-induced aggregation of the AuNPs. High-resolution transmission electron microscopy images revealed uniformly distributed spherical nanoparticles with an average size of 27.5 ± 15.2 nm, increasing in size to 39.6 ± 12.9 nm upon the addition of a protein, indicating the formation of AuNPs-protein conjugates in solution. A general mechanism for the protein-induced aggregation of our AuNPs is proposed. The consistent behavior observed with the nine proteins tested in our study suggests that our assay can be universally applied for the quantification of pure proteins in a solution, regardless of size, shape, or molecular weight.","author":[{"dropping-particle":"","family":"Beyer","given":"Maximilian","non-dropping-particle":"","parse-names":false,"suffix":""},{"dropping-particle":"","family":"Hladun","given":"Colby","non-dropping-particle":"","parse-names":false,"suffix":""},{"dropping-particle":"","family":"Bou-Abdallah","given":"Fadi","non-dropping-particle":"","parse-names":false,"suffix":""}],"container-title":"Analytical Methods","id":"ITEM-1","issue":"31","issued":{"date-parts":[["2024"]]},"publisher":"Royal Society of Chemistry","title":"Detection of proteins with ascorbic acid-capped gold nanoparticles: a simple and highly sensitive colorimetric assay","type":"article-journal","volume":"16"},"uris":["http://www.mendeley.com/documents/?uuid=e482d212-883a-40b8-bce4-c6c9ec122eb1"]}],"mendeley":{"formattedCitation":"[29]","plainTextFormattedCitation":"[29]","previouslyFormattedCitation":"[28]"},"properties":{"noteIndex":0},"schema":"https://github.com/citation-style-language/schema/raw/master/csl-citation.json"}</w:instrText>
            </w:r>
            <w:r w:rsidRPr="008A183B">
              <w:rPr>
                <w:sz w:val="16"/>
                <w:szCs w:val="16"/>
              </w:rPr>
              <w:fldChar w:fldCharType="separate"/>
            </w:r>
            <w:r w:rsidR="00280E5C" w:rsidRPr="00280E5C">
              <w:rPr>
                <w:noProof/>
                <w:sz w:val="16"/>
                <w:szCs w:val="16"/>
              </w:rPr>
              <w:t>[29]</w:t>
            </w:r>
            <w:r w:rsidRPr="008A183B">
              <w:rPr>
                <w:sz w:val="16"/>
                <w:szCs w:val="16"/>
              </w:rPr>
              <w:fldChar w:fldCharType="end"/>
            </w:r>
            <w:r w:rsidR="002D055C" w:rsidRPr="008A183B">
              <w:rPr>
                <w:sz w:val="16"/>
                <w:szCs w:val="16"/>
              </w:rPr>
              <w:t xml:space="preserve"> </w:t>
            </w:r>
          </w:p>
        </w:tc>
      </w:tr>
      <w:tr w:rsidR="000A2049" w:rsidRPr="00800D2F" w14:paraId="4B6AEF9A" w14:textId="77777777" w:rsidTr="00800D2F">
        <w:tc>
          <w:tcPr>
            <w:tcW w:w="421" w:type="dxa"/>
          </w:tcPr>
          <w:p w14:paraId="164B77A2" w14:textId="77777777" w:rsidR="000A2049" w:rsidRPr="008A183B" w:rsidRDefault="000A2049" w:rsidP="007B2D0C">
            <w:pPr>
              <w:pStyle w:val="IJNEAMFigureCaption"/>
              <w:rPr>
                <w:sz w:val="16"/>
                <w:szCs w:val="16"/>
              </w:rPr>
            </w:pPr>
            <w:r w:rsidRPr="008A183B">
              <w:rPr>
                <w:sz w:val="16"/>
                <w:szCs w:val="16"/>
              </w:rPr>
              <w:t>4</w:t>
            </w:r>
          </w:p>
        </w:tc>
        <w:tc>
          <w:tcPr>
            <w:tcW w:w="1134" w:type="dxa"/>
          </w:tcPr>
          <w:p w14:paraId="68392FDB" w14:textId="77777777" w:rsidR="000A2049" w:rsidRPr="008A183B" w:rsidRDefault="000A2049" w:rsidP="007B2D0C">
            <w:pPr>
              <w:pStyle w:val="IJNEAMFigureCaption"/>
              <w:rPr>
                <w:sz w:val="16"/>
                <w:szCs w:val="16"/>
              </w:rPr>
            </w:pPr>
            <w:r w:rsidRPr="008A183B">
              <w:rPr>
                <w:sz w:val="16"/>
                <w:szCs w:val="16"/>
              </w:rPr>
              <w:t>Micro-taped-long-period fiber grating</w:t>
            </w:r>
          </w:p>
        </w:tc>
        <w:tc>
          <w:tcPr>
            <w:tcW w:w="992" w:type="dxa"/>
          </w:tcPr>
          <w:p w14:paraId="74EDD2A0" w14:textId="77777777" w:rsidR="000A2049" w:rsidRPr="008A183B" w:rsidRDefault="000A2049" w:rsidP="007B2D0C">
            <w:pPr>
              <w:pStyle w:val="IJNEAMFigureCaption"/>
              <w:rPr>
                <w:sz w:val="16"/>
                <w:szCs w:val="16"/>
              </w:rPr>
            </w:pPr>
            <w:r w:rsidRPr="008A183B">
              <w:rPr>
                <w:sz w:val="16"/>
                <w:szCs w:val="16"/>
              </w:rPr>
              <w:t>Wavelength shift</w:t>
            </w:r>
          </w:p>
        </w:tc>
        <w:tc>
          <w:tcPr>
            <w:tcW w:w="992" w:type="dxa"/>
          </w:tcPr>
          <w:p w14:paraId="62B63DCF" w14:textId="4F9BE895" w:rsidR="000A2049" w:rsidRPr="008A183B" w:rsidRDefault="009525E0" w:rsidP="007B2D0C">
            <w:pPr>
              <w:pStyle w:val="IJNEAMFigureCaption"/>
              <w:rPr>
                <w:sz w:val="16"/>
                <w:szCs w:val="16"/>
              </w:rPr>
            </w:pPr>
            <w:r>
              <w:rPr>
                <w:sz w:val="16"/>
                <w:szCs w:val="16"/>
              </w:rPr>
              <w:t xml:space="preserve">40, 80, 120, 160, 200 </w:t>
            </w:r>
            <w:r w:rsidR="000A2049" w:rsidRPr="008A183B">
              <w:rPr>
                <w:sz w:val="16"/>
                <w:szCs w:val="16"/>
              </w:rPr>
              <w:t>mg/</w:t>
            </w:r>
            <w:r>
              <w:rPr>
                <w:sz w:val="16"/>
                <w:szCs w:val="16"/>
              </w:rPr>
              <w:t>dl</w:t>
            </w:r>
          </w:p>
        </w:tc>
        <w:tc>
          <w:tcPr>
            <w:tcW w:w="851" w:type="dxa"/>
          </w:tcPr>
          <w:p w14:paraId="046E0771" w14:textId="77777777" w:rsidR="000A2049" w:rsidRPr="008A183B" w:rsidRDefault="000A2049" w:rsidP="007B2D0C">
            <w:pPr>
              <w:pStyle w:val="IJNEAMFigureCaption"/>
              <w:rPr>
                <w:sz w:val="16"/>
                <w:szCs w:val="16"/>
              </w:rPr>
            </w:pPr>
            <w:r w:rsidRPr="008A183B">
              <w:rPr>
                <w:sz w:val="16"/>
                <w:szCs w:val="16"/>
              </w:rPr>
              <w:t>0.043 mg/mL</w:t>
            </w:r>
          </w:p>
        </w:tc>
        <w:tc>
          <w:tcPr>
            <w:tcW w:w="567" w:type="dxa"/>
          </w:tcPr>
          <w:p w14:paraId="0C203A58" w14:textId="0CE46E5D" w:rsidR="000A2049" w:rsidRPr="008A183B" w:rsidRDefault="000A2049" w:rsidP="007B2D0C">
            <w:pPr>
              <w:pStyle w:val="IJNEAMFigureCaption"/>
              <w:rPr>
                <w:sz w:val="16"/>
                <w:szCs w:val="16"/>
              </w:rPr>
            </w:pPr>
            <w:r w:rsidRPr="008A183B">
              <w:rPr>
                <w:sz w:val="16"/>
                <w:szCs w:val="16"/>
              </w:rPr>
              <w:fldChar w:fldCharType="begin" w:fldLock="1"/>
            </w:r>
            <w:r w:rsidR="00280E5C">
              <w:rPr>
                <w:sz w:val="16"/>
                <w:szCs w:val="16"/>
              </w:rPr>
              <w:instrText>ADDIN CSL_CITATION {"citationItems":[{"id":"ITEM-1","itemData":{"DOI":"10.1007/s13320-022-0649-6","ISSN":"21907439","abstract":"A biosensor for bovine serum albumin (BSA) detection by graphene oxide (GO) functionalized micro-taped long-period fiber grating (GMLPG) was demonstrated. The amide bond connected between the GO and BSA enabled the BSA to attach onto the fiber surface, which changed the effective refractive index of the cladding mode and characterized the concentration of the BSA. This real-time monitoring system demonstrated a sensing sensitivity of 1.263 nm/(mg/mL) and a detection limit of 0.043 mg/mL. Moreover, it illustrated superior measurement performance of higher sensitivity in the presence of glucose and urea as the interference, which showed static sensitivities of ∼1.476 nm/(mg/mL) and 1.504 nm/(mg/mL), respectively. The proposed GMLPG demonstrated a great potential for being employed as a sensor for biomedical and biochemical applications.","author":[{"dropping-particle":"","family":"Wang","given":"Ruiduo","non-dropping-particle":"","parse-names":false,"suffix":""},{"dropping-particle":"","family":"Wu","given":"Hao","non-dropping-particle":"","parse-names":false,"suffix":""},{"dropping-particle":"","family":"Qi","given":"Mei","non-dropping-particle":"","parse-names":false,"suffix":""},{"dropping-particle":"","family":"Han","given":"Jing","non-dropping-particle":"","parse-names":false,"suffix":""},{"dropping-particle":"","family":"Ren","given":"Zhaoyu","non-dropping-particle":"","parse-names":false,"suffix":""}],"container-title":"Photonic Sensors","id":"ITEM-1","issue":"3","issued":{"date-parts":[["2022"]]},"page":"1-10","title":"Bovine Serum Albumin Detection by Graphene Oxide Coated Long-Period Fiber Grating","type":"article-journal","volume":"12"},"uris":["http://www.mendeley.com/documents/?uuid=60e754d6-7099-4d6b-ae05-13997890a02e"]}],"mendeley":{"formattedCitation":"[30]","plainTextFormattedCitation":"[30]","previouslyFormattedCitation":"[29]"},"properties":{"noteIndex":0},"schema":"https://github.com/citation-style-language/schema/raw/master/csl-citation.json"}</w:instrText>
            </w:r>
            <w:r w:rsidRPr="008A183B">
              <w:rPr>
                <w:sz w:val="16"/>
                <w:szCs w:val="16"/>
              </w:rPr>
              <w:fldChar w:fldCharType="separate"/>
            </w:r>
            <w:r w:rsidR="00280E5C" w:rsidRPr="00280E5C">
              <w:rPr>
                <w:noProof/>
                <w:sz w:val="16"/>
                <w:szCs w:val="16"/>
              </w:rPr>
              <w:t>[30]</w:t>
            </w:r>
            <w:r w:rsidRPr="008A183B">
              <w:rPr>
                <w:sz w:val="16"/>
                <w:szCs w:val="16"/>
              </w:rPr>
              <w:fldChar w:fldCharType="end"/>
            </w:r>
            <w:r w:rsidR="002D055C" w:rsidRPr="008A183B">
              <w:rPr>
                <w:sz w:val="16"/>
                <w:szCs w:val="16"/>
              </w:rPr>
              <w:t xml:space="preserve"> </w:t>
            </w:r>
          </w:p>
        </w:tc>
      </w:tr>
      <w:tr w:rsidR="000A2049" w:rsidRPr="00800D2F" w14:paraId="2B204634" w14:textId="77777777" w:rsidTr="00800D2F">
        <w:tc>
          <w:tcPr>
            <w:tcW w:w="421" w:type="dxa"/>
          </w:tcPr>
          <w:p w14:paraId="6076B22C" w14:textId="77777777" w:rsidR="000A2049" w:rsidRPr="008A183B" w:rsidRDefault="000A2049" w:rsidP="007B2D0C">
            <w:pPr>
              <w:pStyle w:val="IJNEAMFigureCaption"/>
              <w:rPr>
                <w:sz w:val="16"/>
                <w:szCs w:val="16"/>
              </w:rPr>
            </w:pPr>
            <w:r w:rsidRPr="008A183B">
              <w:rPr>
                <w:sz w:val="16"/>
                <w:szCs w:val="16"/>
              </w:rPr>
              <w:t>5</w:t>
            </w:r>
          </w:p>
        </w:tc>
        <w:tc>
          <w:tcPr>
            <w:tcW w:w="1134" w:type="dxa"/>
            <w:vMerge w:val="restart"/>
          </w:tcPr>
          <w:p w14:paraId="449E29E9" w14:textId="77777777" w:rsidR="000A2049" w:rsidRPr="008A183B" w:rsidRDefault="000A2049" w:rsidP="007B2D0C">
            <w:pPr>
              <w:pStyle w:val="IJNEAMFigureCaption"/>
              <w:rPr>
                <w:sz w:val="16"/>
                <w:szCs w:val="16"/>
              </w:rPr>
            </w:pPr>
            <w:r w:rsidRPr="008A183B">
              <w:rPr>
                <w:sz w:val="16"/>
                <w:szCs w:val="16"/>
              </w:rPr>
              <w:t>Bio functionalized tapered optical fiber</w:t>
            </w:r>
          </w:p>
        </w:tc>
        <w:tc>
          <w:tcPr>
            <w:tcW w:w="992" w:type="dxa"/>
          </w:tcPr>
          <w:p w14:paraId="02BAA704" w14:textId="77777777" w:rsidR="000A2049" w:rsidRPr="008A183B" w:rsidRDefault="000A2049" w:rsidP="007B2D0C">
            <w:pPr>
              <w:pStyle w:val="IJNEAMFigureCaption"/>
              <w:rPr>
                <w:sz w:val="16"/>
                <w:szCs w:val="16"/>
              </w:rPr>
            </w:pPr>
            <w:r w:rsidRPr="008A183B">
              <w:rPr>
                <w:sz w:val="16"/>
                <w:szCs w:val="16"/>
              </w:rPr>
              <w:t>Intensity</w:t>
            </w:r>
          </w:p>
        </w:tc>
        <w:tc>
          <w:tcPr>
            <w:tcW w:w="992" w:type="dxa"/>
          </w:tcPr>
          <w:p w14:paraId="4DA5EFFC" w14:textId="77777777" w:rsidR="000A2049" w:rsidRPr="008A183B" w:rsidRDefault="000A2049" w:rsidP="007B2D0C">
            <w:pPr>
              <w:pStyle w:val="IJNEAMFigureCaption"/>
              <w:rPr>
                <w:sz w:val="16"/>
                <w:szCs w:val="16"/>
              </w:rPr>
            </w:pPr>
            <w:r w:rsidRPr="008A183B">
              <w:rPr>
                <w:sz w:val="16"/>
                <w:szCs w:val="16"/>
              </w:rPr>
              <w:t>125 mg/dl, 62.5 mg/dl &amp; 31.25 mg/dl</w:t>
            </w:r>
          </w:p>
        </w:tc>
        <w:tc>
          <w:tcPr>
            <w:tcW w:w="851" w:type="dxa"/>
          </w:tcPr>
          <w:p w14:paraId="71F484D7" w14:textId="2A60C89E" w:rsidR="000A2049" w:rsidRPr="008A183B" w:rsidRDefault="000A2049" w:rsidP="007B2D0C">
            <w:pPr>
              <w:pStyle w:val="IJNEAMFigureCaption"/>
              <w:rPr>
                <w:sz w:val="16"/>
                <w:szCs w:val="16"/>
              </w:rPr>
            </w:pPr>
            <w:r w:rsidRPr="008A183B">
              <w:rPr>
                <w:sz w:val="16"/>
                <w:szCs w:val="16"/>
              </w:rPr>
              <w:t xml:space="preserve">-1.9947 </w:t>
            </w:r>
            <w:r w:rsidR="003B2FBD" w:rsidRPr="008A183B">
              <w:rPr>
                <w:sz w:val="16"/>
                <w:szCs w:val="16"/>
              </w:rPr>
              <w:t>a.u</w:t>
            </w:r>
            <w:r w:rsidRPr="008A183B">
              <w:rPr>
                <w:sz w:val="16"/>
                <w:szCs w:val="16"/>
              </w:rPr>
              <w:t>/(mg/dl)</w:t>
            </w:r>
          </w:p>
        </w:tc>
        <w:tc>
          <w:tcPr>
            <w:tcW w:w="567" w:type="dxa"/>
            <w:vMerge w:val="restart"/>
          </w:tcPr>
          <w:p w14:paraId="4C992B55" w14:textId="77777777" w:rsidR="000A2049" w:rsidRPr="008A183B" w:rsidRDefault="000A2049" w:rsidP="007B2D0C">
            <w:pPr>
              <w:pStyle w:val="IJNEAMFigureCaption"/>
              <w:rPr>
                <w:sz w:val="16"/>
                <w:szCs w:val="16"/>
              </w:rPr>
            </w:pPr>
            <w:r w:rsidRPr="008A183B">
              <w:rPr>
                <w:sz w:val="16"/>
                <w:szCs w:val="16"/>
              </w:rPr>
              <w:t>This work</w:t>
            </w:r>
          </w:p>
        </w:tc>
      </w:tr>
      <w:tr w:rsidR="000A2049" w:rsidRPr="00800D2F" w14:paraId="29A0F896" w14:textId="77777777" w:rsidTr="00800D2F">
        <w:tc>
          <w:tcPr>
            <w:tcW w:w="421" w:type="dxa"/>
          </w:tcPr>
          <w:p w14:paraId="10320911" w14:textId="77777777" w:rsidR="000A2049" w:rsidRPr="00800D2F" w:rsidRDefault="000A2049" w:rsidP="007B2D0C">
            <w:pPr>
              <w:pStyle w:val="IJNEAMFigureCaption"/>
              <w:rPr>
                <w:sz w:val="14"/>
                <w:szCs w:val="14"/>
              </w:rPr>
            </w:pPr>
            <w:r w:rsidRPr="00800D2F">
              <w:rPr>
                <w:sz w:val="14"/>
                <w:szCs w:val="14"/>
              </w:rPr>
              <w:t>6</w:t>
            </w:r>
          </w:p>
        </w:tc>
        <w:tc>
          <w:tcPr>
            <w:tcW w:w="1134" w:type="dxa"/>
            <w:vMerge/>
          </w:tcPr>
          <w:p w14:paraId="6A929249" w14:textId="77777777" w:rsidR="000A2049" w:rsidRPr="00800D2F" w:rsidRDefault="000A2049" w:rsidP="007B2D0C">
            <w:pPr>
              <w:pStyle w:val="IJNEAMFigureCaption"/>
              <w:rPr>
                <w:sz w:val="14"/>
                <w:szCs w:val="14"/>
              </w:rPr>
            </w:pPr>
          </w:p>
        </w:tc>
        <w:tc>
          <w:tcPr>
            <w:tcW w:w="992" w:type="dxa"/>
          </w:tcPr>
          <w:p w14:paraId="1402F4CE" w14:textId="77777777" w:rsidR="000A2049" w:rsidRPr="00800D2F" w:rsidRDefault="000A2049" w:rsidP="007B2D0C">
            <w:pPr>
              <w:pStyle w:val="IJNEAMFigureCaption"/>
              <w:rPr>
                <w:sz w:val="14"/>
                <w:szCs w:val="14"/>
              </w:rPr>
            </w:pPr>
            <w:r w:rsidRPr="00800D2F">
              <w:rPr>
                <w:sz w:val="14"/>
                <w:szCs w:val="14"/>
              </w:rPr>
              <w:t>Absorbance</w:t>
            </w:r>
          </w:p>
        </w:tc>
        <w:tc>
          <w:tcPr>
            <w:tcW w:w="992" w:type="dxa"/>
          </w:tcPr>
          <w:p w14:paraId="50764718" w14:textId="77777777" w:rsidR="000A2049" w:rsidRPr="00800D2F" w:rsidRDefault="000A2049" w:rsidP="007B2D0C">
            <w:pPr>
              <w:pStyle w:val="IJNEAMFigureCaption"/>
              <w:rPr>
                <w:sz w:val="14"/>
                <w:szCs w:val="14"/>
              </w:rPr>
            </w:pPr>
            <w:r w:rsidRPr="00800D2F">
              <w:rPr>
                <w:sz w:val="14"/>
                <w:szCs w:val="14"/>
              </w:rPr>
              <w:t>125 mg/dl, 62.5 mg/dl &amp; 31.25 mg/dl</w:t>
            </w:r>
          </w:p>
        </w:tc>
        <w:tc>
          <w:tcPr>
            <w:tcW w:w="851" w:type="dxa"/>
          </w:tcPr>
          <w:p w14:paraId="64924FC3" w14:textId="53ACC080" w:rsidR="000A2049" w:rsidRPr="00800D2F" w:rsidRDefault="000A2049" w:rsidP="007B2D0C">
            <w:pPr>
              <w:pStyle w:val="IJNEAMFigureCaption"/>
              <w:rPr>
                <w:sz w:val="14"/>
                <w:szCs w:val="14"/>
              </w:rPr>
            </w:pPr>
            <w:r w:rsidRPr="00800D2F">
              <w:rPr>
                <w:sz w:val="14"/>
                <w:szCs w:val="14"/>
              </w:rPr>
              <w:t>0.00195</w:t>
            </w:r>
            <w:r w:rsidR="00AC13A6" w:rsidRPr="00800D2F">
              <w:rPr>
                <w:sz w:val="14"/>
                <w:szCs w:val="14"/>
              </w:rPr>
              <w:t xml:space="preserve"> a.u</w:t>
            </w:r>
            <w:r w:rsidRPr="00800D2F">
              <w:rPr>
                <w:sz w:val="14"/>
                <w:szCs w:val="14"/>
              </w:rPr>
              <w:t>/(mg/dl)</w:t>
            </w:r>
          </w:p>
        </w:tc>
        <w:tc>
          <w:tcPr>
            <w:tcW w:w="567" w:type="dxa"/>
            <w:vMerge/>
          </w:tcPr>
          <w:p w14:paraId="5C0AE932" w14:textId="77777777" w:rsidR="000A2049" w:rsidRPr="00800D2F" w:rsidRDefault="000A2049" w:rsidP="007B2D0C">
            <w:pPr>
              <w:pStyle w:val="IJNEAMFigureCaption"/>
              <w:rPr>
                <w:sz w:val="14"/>
                <w:szCs w:val="14"/>
              </w:rPr>
            </w:pPr>
          </w:p>
        </w:tc>
      </w:tr>
    </w:tbl>
    <w:p w14:paraId="5F379695" w14:textId="77777777" w:rsidR="002E4642" w:rsidRPr="0064141D" w:rsidRDefault="002E4642" w:rsidP="00BE7E49">
      <w:pPr>
        <w:pStyle w:val="IJNEAMFigureCaption"/>
      </w:pPr>
    </w:p>
    <w:p w14:paraId="19914118" w14:textId="05F6B40F" w:rsidR="000922CC" w:rsidRDefault="007605B7">
      <w:pPr>
        <w:pStyle w:val="Heading1"/>
      </w:pPr>
      <w:r>
        <w:t>CONCLUSION</w:t>
      </w:r>
    </w:p>
    <w:p w14:paraId="3BFC52A4" w14:textId="42FE9C16" w:rsidR="008C0452" w:rsidRPr="008C0452" w:rsidRDefault="008B2981" w:rsidP="008B2981">
      <w:pPr>
        <w:pStyle w:val="IJNEAMParagraph"/>
      </w:pPr>
      <w:r w:rsidRPr="008B2981">
        <w:t xml:space="preserve">In conclusion, this study provides a comprehensive evaluation of BSA detection using various sensing modalities, highlighting each approach's distinct advantages and limitations. The results demonstrate that while cuvettes offer superior sensitivity with high volume for analyte usage, the biofunctionalization significantly enhances the performance of tapered optical fibers, achieving a remarkable 1494% increase in sensitivity by using absorbance value and 206% by using intensity value. This improvement, although still lower than that of cuvettes, underscores the transformative potential of biofunctionalized tapered fibers in precision sensing applications. The time response analysis reveals critical insights into the interaction dynamics between BSA molecules and the sensing surfaces, with biofunctionalized fibers showing promise in achieving more stable and reliable measurements over time. The intensity and absorbance analyses further validate the effectiveness of these fibers in detecting BSA, particularly in the </w:t>
      </w:r>
      <w:r w:rsidR="00FF3017">
        <w:t>UV</w:t>
      </w:r>
      <w:r w:rsidRPr="008B2981">
        <w:t xml:space="preserve"> and visible spectra, where traditional cuvettes may fall short. Collectively, these findings position biofunctionalized tapered optical fibers as a compelling alternative in biosensing, with the potential to revolutionize detection methodologies in biomedical and environmental applications. The significant enhancements in sensitivity and stability contribute to the growing body of knowledge and pave the way for future innovations in fiber optic sensor design.</w:t>
      </w:r>
    </w:p>
    <w:p w14:paraId="25A1C6E4" w14:textId="07246530" w:rsidR="003A40F5" w:rsidRDefault="003A40F5" w:rsidP="0019185B">
      <w:pPr>
        <w:pStyle w:val="Heading1"/>
        <w:numPr>
          <w:ilvl w:val="0"/>
          <w:numId w:val="0"/>
        </w:numPr>
      </w:pPr>
      <w:r>
        <w:t>ACKNOWLEDGEMENT</w:t>
      </w:r>
      <w:r w:rsidR="00514108">
        <w:t>S</w:t>
      </w:r>
    </w:p>
    <w:p w14:paraId="43769B7A" w14:textId="0B56C1BE" w:rsidR="008C0452" w:rsidRPr="008C0452" w:rsidRDefault="00D75968" w:rsidP="008C0452">
      <w:pPr>
        <w:pStyle w:val="IJNEAMParagraph"/>
        <w:rPr>
          <w:lang w:val="x-none" w:eastAsia="x-none"/>
        </w:rPr>
      </w:pPr>
      <w:r w:rsidRPr="00D75968">
        <w:t>This research was funded by Universiti Kebangsaan Malaysia through INISIATIF BELANJAWAN 2025 : AI ENHANCEMENT, Malaysia, under the grant WARISAN-2025-023</w:t>
      </w:r>
      <w:r>
        <w:t>.</w:t>
      </w:r>
    </w:p>
    <w:p w14:paraId="20C9C9CE" w14:textId="2B9B30AD" w:rsidR="00B0299E" w:rsidRDefault="0019185B" w:rsidP="0019185B">
      <w:pPr>
        <w:pStyle w:val="Heading1"/>
        <w:numPr>
          <w:ilvl w:val="0"/>
          <w:numId w:val="0"/>
        </w:numPr>
      </w:pPr>
      <w:r>
        <w:t>REFERENCES</w:t>
      </w:r>
    </w:p>
    <w:p w14:paraId="4761EA2F" w14:textId="6341FE61" w:rsidR="00280E5C" w:rsidRPr="00280E5C" w:rsidRDefault="00372ABF" w:rsidP="00280E5C">
      <w:pPr>
        <w:widowControl w:val="0"/>
        <w:autoSpaceDE w:val="0"/>
        <w:autoSpaceDN w:val="0"/>
        <w:adjustRightInd w:val="0"/>
        <w:ind w:left="640" w:hanging="640"/>
        <w:rPr>
          <w:rFonts w:ascii="Times New Roman" w:hAnsi="Times New Roman"/>
          <w:noProof/>
          <w:sz w:val="16"/>
        </w:rPr>
      </w:pPr>
      <w:r>
        <w:fldChar w:fldCharType="begin" w:fldLock="1"/>
      </w:r>
      <w:r>
        <w:instrText xml:space="preserve">ADDIN Mendeley Bibliography CSL_BIBLIOGRAPHY </w:instrText>
      </w:r>
      <w:r>
        <w:fldChar w:fldCharType="separate"/>
      </w:r>
      <w:r w:rsidR="00280E5C" w:rsidRPr="00280E5C">
        <w:rPr>
          <w:rFonts w:ascii="Times New Roman" w:hAnsi="Times New Roman"/>
          <w:noProof/>
          <w:sz w:val="16"/>
        </w:rPr>
        <w:t>[1]</w:t>
      </w:r>
      <w:r w:rsidR="00280E5C" w:rsidRPr="00280E5C">
        <w:rPr>
          <w:rFonts w:ascii="Times New Roman" w:hAnsi="Times New Roman"/>
          <w:noProof/>
          <w:sz w:val="16"/>
        </w:rPr>
        <w:tab/>
        <w:t xml:space="preserve">M. Ruzicka, L. Jabloncik, P. Dejdar, A. Tomasov, V. Spurny, and P. Munster, “Classification of Events Violating the Safety of Physical Layers in Fiber-Optic Network Infrastructures,” </w:t>
      </w:r>
      <w:r w:rsidR="00280E5C" w:rsidRPr="00280E5C">
        <w:rPr>
          <w:rFonts w:ascii="Times New Roman" w:hAnsi="Times New Roman"/>
          <w:i/>
          <w:iCs/>
          <w:noProof/>
          <w:sz w:val="16"/>
        </w:rPr>
        <w:t>Sensors</w:t>
      </w:r>
      <w:r w:rsidR="00280E5C" w:rsidRPr="00280E5C">
        <w:rPr>
          <w:rFonts w:ascii="Times New Roman" w:hAnsi="Times New Roman"/>
          <w:noProof/>
          <w:sz w:val="16"/>
        </w:rPr>
        <w:t>, vol. 22, no. 23, 2022, doi: 10.3390/s22239515.</w:t>
      </w:r>
    </w:p>
    <w:p w14:paraId="1261EC16"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[2]</w:t>
      </w:r>
      <w:r w:rsidRPr="00280E5C">
        <w:rPr>
          <w:rFonts w:ascii="Times New Roman" w:hAnsi="Times New Roman"/>
          <w:noProof/>
          <w:sz w:val="16"/>
        </w:rPr>
        <w:tab/>
        <w:t xml:space="preserve">X. Guo </w:t>
      </w:r>
      <w:r w:rsidRPr="00280E5C">
        <w:rPr>
          <w:rFonts w:ascii="Times New Roman" w:hAnsi="Times New Roman"/>
          <w:i/>
          <w:iCs/>
          <w:noProof/>
          <w:sz w:val="16"/>
        </w:rPr>
        <w:t>et al.</w:t>
      </w:r>
      <w:r w:rsidRPr="00280E5C">
        <w:rPr>
          <w:rFonts w:ascii="Times New Roman" w:hAnsi="Times New Roman"/>
          <w:noProof/>
          <w:sz w:val="16"/>
        </w:rPr>
        <w:t xml:space="preserve">, “A High-Precision Transfer of Time and RF Frequency via the Fiber-Optic Link Based on Secure Encryption,” </w:t>
      </w:r>
      <w:r w:rsidRPr="00280E5C">
        <w:rPr>
          <w:rFonts w:ascii="Times New Roman" w:hAnsi="Times New Roman"/>
          <w:i/>
          <w:iCs/>
          <w:noProof/>
          <w:sz w:val="16"/>
        </w:rPr>
        <w:t>Appl. Sci.</w:t>
      </w:r>
      <w:r w:rsidRPr="00280E5C">
        <w:rPr>
          <w:rFonts w:ascii="Times New Roman" w:hAnsi="Times New Roman"/>
          <w:noProof/>
          <w:sz w:val="16"/>
        </w:rPr>
        <w:t>, vol. 12, no. 13, 2022, doi: 10.3390/app12136643.</w:t>
      </w:r>
    </w:p>
    <w:p w14:paraId="51AAC7C1"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[3]</w:t>
      </w:r>
      <w:r w:rsidRPr="00280E5C">
        <w:rPr>
          <w:rFonts w:ascii="Times New Roman" w:hAnsi="Times New Roman"/>
          <w:noProof/>
          <w:sz w:val="16"/>
        </w:rPr>
        <w:tab/>
        <w:t xml:space="preserve">L. Liu, Y. Liu, and X. Gao, “Flexible Ultra-Wide Electro-Optic Frequency Combs for a High-Capacity Tunable 5G+ Millimeter-Wave Frequency Synthesizer Li,” </w:t>
      </w:r>
      <w:r w:rsidRPr="00280E5C">
        <w:rPr>
          <w:rFonts w:ascii="Times New Roman" w:hAnsi="Times New Roman"/>
          <w:i/>
          <w:iCs/>
          <w:noProof/>
          <w:sz w:val="16"/>
        </w:rPr>
        <w:t>Appl. Sci.</w:t>
      </w:r>
      <w:r w:rsidRPr="00280E5C">
        <w:rPr>
          <w:rFonts w:ascii="Times New Roman" w:hAnsi="Times New Roman"/>
          <w:noProof/>
          <w:sz w:val="16"/>
        </w:rPr>
        <w:t>, vol. 22, no. 11, p. 10742, 2021.</w:t>
      </w:r>
    </w:p>
    <w:p w14:paraId="1FBE270F"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[4]</w:t>
      </w:r>
      <w:r w:rsidRPr="00280E5C">
        <w:rPr>
          <w:rFonts w:ascii="Times New Roman" w:hAnsi="Times New Roman"/>
          <w:noProof/>
          <w:sz w:val="16"/>
        </w:rPr>
        <w:tab/>
        <w:t xml:space="preserve">D. Venu, A. V. R. Mayuri, S. Neelakandan, G. L. N. Murthy, N. Arulkumar, and N. Shelke, “An efficient low complexity compression based optimal homomorphic encryption for secure fiber optic communication,” </w:t>
      </w:r>
      <w:r w:rsidRPr="00280E5C">
        <w:rPr>
          <w:rFonts w:ascii="Times New Roman" w:hAnsi="Times New Roman"/>
          <w:i/>
          <w:iCs/>
          <w:noProof/>
          <w:sz w:val="16"/>
        </w:rPr>
        <w:t>Optik (Stuttg).</w:t>
      </w:r>
      <w:r w:rsidRPr="00280E5C">
        <w:rPr>
          <w:rFonts w:ascii="Times New Roman" w:hAnsi="Times New Roman"/>
          <w:noProof/>
          <w:sz w:val="16"/>
        </w:rPr>
        <w:t>, vol. 252, no. December 2021, p. 168545, 2022, doi: 10.1016/j.ijleo.2021.168545.</w:t>
      </w:r>
    </w:p>
    <w:p w14:paraId="5CED2C29"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[5]</w:t>
      </w:r>
      <w:r w:rsidRPr="00280E5C">
        <w:rPr>
          <w:rFonts w:ascii="Times New Roman" w:hAnsi="Times New Roman"/>
          <w:noProof/>
          <w:sz w:val="16"/>
        </w:rPr>
        <w:tab/>
        <w:t xml:space="preserve">J. Zhou </w:t>
      </w:r>
      <w:r w:rsidRPr="00280E5C">
        <w:rPr>
          <w:rFonts w:ascii="Times New Roman" w:hAnsi="Times New Roman"/>
          <w:i/>
          <w:iCs/>
          <w:noProof/>
          <w:sz w:val="16"/>
        </w:rPr>
        <w:t>et al.</w:t>
      </w:r>
      <w:r w:rsidRPr="00280E5C">
        <w:rPr>
          <w:rFonts w:ascii="Times New Roman" w:hAnsi="Times New Roman"/>
          <w:noProof/>
          <w:sz w:val="16"/>
        </w:rPr>
        <w:t xml:space="preserve">, “Miniature non-contact photoacoustic probe based on fiber-optic photoacoustic remote sensing microscopy,” </w:t>
      </w:r>
      <w:r w:rsidRPr="00280E5C">
        <w:rPr>
          <w:rFonts w:ascii="Times New Roman" w:hAnsi="Times New Roman"/>
          <w:i/>
          <w:iCs/>
          <w:noProof/>
          <w:sz w:val="16"/>
        </w:rPr>
        <w:t>Opt. Lett.</w:t>
      </w:r>
      <w:r w:rsidRPr="00280E5C">
        <w:rPr>
          <w:rFonts w:ascii="Times New Roman" w:hAnsi="Times New Roman"/>
          <w:noProof/>
          <w:sz w:val="16"/>
        </w:rPr>
        <w:t>, vol. 46, no. 22, p. 5767, 2021, doi: 10.1364/ol.444889.</w:t>
      </w:r>
    </w:p>
    <w:p w14:paraId="11C40633"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[6]</w:t>
      </w:r>
      <w:r w:rsidRPr="00280E5C">
        <w:rPr>
          <w:rFonts w:ascii="Times New Roman" w:hAnsi="Times New Roman"/>
          <w:noProof/>
          <w:sz w:val="16"/>
        </w:rPr>
        <w:tab/>
        <w:t xml:space="preserve">H. Liu </w:t>
      </w:r>
      <w:r w:rsidRPr="00280E5C">
        <w:rPr>
          <w:rFonts w:ascii="Times New Roman" w:hAnsi="Times New Roman"/>
          <w:i/>
          <w:iCs/>
          <w:noProof/>
          <w:sz w:val="16"/>
        </w:rPr>
        <w:t>et al.</w:t>
      </w:r>
      <w:r w:rsidRPr="00280E5C">
        <w:rPr>
          <w:rFonts w:ascii="Times New Roman" w:hAnsi="Times New Roman"/>
          <w:noProof/>
          <w:sz w:val="16"/>
        </w:rPr>
        <w:t xml:space="preserve">, “Uav-borne hyperspectral imaging remote sensing system based on acousto-optic tunable filter for water quality monitoring,” </w:t>
      </w:r>
      <w:r w:rsidRPr="00280E5C">
        <w:rPr>
          <w:rFonts w:ascii="Times New Roman" w:hAnsi="Times New Roman"/>
          <w:i/>
          <w:iCs/>
          <w:noProof/>
          <w:sz w:val="16"/>
        </w:rPr>
        <w:t>Remote Sens.</w:t>
      </w:r>
      <w:r w:rsidRPr="00280E5C">
        <w:rPr>
          <w:rFonts w:ascii="Times New Roman" w:hAnsi="Times New Roman"/>
          <w:noProof/>
          <w:sz w:val="16"/>
        </w:rPr>
        <w:t>, vol. 13, no. 20, 2021, doi: 10.3390/rs13204069.</w:t>
      </w:r>
    </w:p>
    <w:p w14:paraId="282E9C2F"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[7]</w:t>
      </w:r>
      <w:r w:rsidRPr="00280E5C">
        <w:rPr>
          <w:rFonts w:ascii="Times New Roman" w:hAnsi="Times New Roman"/>
          <w:noProof/>
          <w:sz w:val="16"/>
        </w:rPr>
        <w:tab/>
        <w:t xml:space="preserve">Y. Kitahama, M. Egawa, P. K. Dwivedi, W. Yang, and K. Goda, “An emerging tool in healthcare: wearable surface-enhanced Raman Spectroscopy,” </w:t>
      </w:r>
      <w:r w:rsidRPr="00280E5C">
        <w:rPr>
          <w:rFonts w:ascii="Times New Roman" w:hAnsi="Times New Roman"/>
          <w:i/>
          <w:iCs/>
          <w:noProof/>
          <w:sz w:val="16"/>
        </w:rPr>
        <w:t>JPhys Photonics</w:t>
      </w:r>
      <w:r w:rsidRPr="00280E5C">
        <w:rPr>
          <w:rFonts w:ascii="Times New Roman" w:hAnsi="Times New Roman"/>
          <w:noProof/>
          <w:sz w:val="16"/>
        </w:rPr>
        <w:t>, vol. 6, no. 2, pp. 0–16, 2024, doi: 10.1088/2515-7647/ad38f6.</w:t>
      </w:r>
    </w:p>
    <w:p w14:paraId="1F2A7FC2"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[8]</w:t>
      </w:r>
      <w:r w:rsidRPr="00280E5C">
        <w:rPr>
          <w:rFonts w:ascii="Times New Roman" w:hAnsi="Times New Roman"/>
          <w:noProof/>
          <w:sz w:val="16"/>
        </w:rPr>
        <w:tab/>
        <w:t xml:space="preserve">W. Lyu, S. Chen, F. Tan, and C. Yu, “Vital Signs Monitoring Based on Interferometric Fiber Optic Sensors,” </w:t>
      </w:r>
      <w:r w:rsidRPr="00280E5C">
        <w:rPr>
          <w:rFonts w:ascii="Times New Roman" w:hAnsi="Times New Roman"/>
          <w:i/>
          <w:iCs/>
          <w:noProof/>
          <w:sz w:val="16"/>
        </w:rPr>
        <w:t>Photonics</w:t>
      </w:r>
      <w:r w:rsidRPr="00280E5C">
        <w:rPr>
          <w:rFonts w:ascii="Times New Roman" w:hAnsi="Times New Roman"/>
          <w:noProof/>
          <w:sz w:val="16"/>
        </w:rPr>
        <w:t xml:space="preserve">, vol. 9, no. 2, </w:t>
      </w:r>
      <w:r w:rsidRPr="00280E5C">
        <w:rPr>
          <w:rFonts w:ascii="Times New Roman" w:hAnsi="Times New Roman"/>
          <w:noProof/>
          <w:sz w:val="16"/>
        </w:rPr>
        <w:lastRenderedPageBreak/>
        <w:t>2022, doi: 10.3390/photonics9020050.</w:t>
      </w:r>
    </w:p>
    <w:p w14:paraId="3C73F04C"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[9]</w:t>
      </w:r>
      <w:r w:rsidRPr="00280E5C">
        <w:rPr>
          <w:rFonts w:ascii="Times New Roman" w:hAnsi="Times New Roman"/>
          <w:noProof/>
          <w:sz w:val="16"/>
        </w:rPr>
        <w:tab/>
        <w:t xml:space="preserve">Z. Zhu, L. Liu, Z. Liu, Y. Zhang, and Y. Zhang, “Surface-plasmon-resonance-based optical-fiber temperature sensor with high sensitivity and high figure of merit,” </w:t>
      </w:r>
      <w:r w:rsidRPr="00280E5C">
        <w:rPr>
          <w:rFonts w:ascii="Times New Roman" w:hAnsi="Times New Roman"/>
          <w:i/>
          <w:iCs/>
          <w:noProof/>
          <w:sz w:val="16"/>
        </w:rPr>
        <w:t>Opt. Lett.</w:t>
      </w:r>
      <w:r w:rsidRPr="00280E5C">
        <w:rPr>
          <w:rFonts w:ascii="Times New Roman" w:hAnsi="Times New Roman"/>
          <w:noProof/>
          <w:sz w:val="16"/>
        </w:rPr>
        <w:t>, vol. 42, no. 15, pp. 2948–2951, Aug. 2017, doi: 10.1364/OL.42.002948.</w:t>
      </w:r>
    </w:p>
    <w:p w14:paraId="46D65DA3"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[10]</w:t>
      </w:r>
      <w:r w:rsidRPr="00280E5C">
        <w:rPr>
          <w:rFonts w:ascii="Times New Roman" w:hAnsi="Times New Roman"/>
          <w:noProof/>
          <w:sz w:val="16"/>
        </w:rPr>
        <w:tab/>
        <w:t xml:space="preserve">H. Liu </w:t>
      </w:r>
      <w:r w:rsidRPr="00280E5C">
        <w:rPr>
          <w:rFonts w:ascii="Times New Roman" w:hAnsi="Times New Roman"/>
          <w:i/>
          <w:iCs/>
          <w:noProof/>
          <w:sz w:val="16"/>
        </w:rPr>
        <w:t>et al.</w:t>
      </w:r>
      <w:r w:rsidRPr="00280E5C">
        <w:rPr>
          <w:rFonts w:ascii="Times New Roman" w:hAnsi="Times New Roman"/>
          <w:noProof/>
          <w:sz w:val="16"/>
        </w:rPr>
        <w:t xml:space="preserve">, “High-Temperature Fiber-Optic Fabry–Perot Vibration Sensor Based on Single-Crystal Sapphire,” </w:t>
      </w:r>
      <w:r w:rsidRPr="00280E5C">
        <w:rPr>
          <w:rFonts w:ascii="Times New Roman" w:hAnsi="Times New Roman"/>
          <w:i/>
          <w:iCs/>
          <w:noProof/>
          <w:sz w:val="16"/>
        </w:rPr>
        <w:t>Sensors</w:t>
      </w:r>
      <w:r w:rsidRPr="00280E5C">
        <w:rPr>
          <w:rFonts w:ascii="Times New Roman" w:hAnsi="Times New Roman"/>
          <w:noProof/>
          <w:sz w:val="16"/>
        </w:rPr>
        <w:t>, vol. 23, no. 10, 2023, doi: 10.3390/s23104952.</w:t>
      </w:r>
    </w:p>
    <w:p w14:paraId="28D321BD"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[11]</w:t>
      </w:r>
      <w:r w:rsidRPr="00280E5C">
        <w:rPr>
          <w:rFonts w:ascii="Times New Roman" w:hAnsi="Times New Roman"/>
          <w:noProof/>
          <w:sz w:val="16"/>
        </w:rPr>
        <w:tab/>
        <w:t xml:space="preserve">S. K. Al-Hayali, A. M. Salman, and A. Hadi Al-Janabi, “Effect of hygroscopic polymer-coatings on the performance of relative humidity sensor based on macro-bend single-mode fiber,” </w:t>
      </w:r>
      <w:r w:rsidRPr="00280E5C">
        <w:rPr>
          <w:rFonts w:ascii="Times New Roman" w:hAnsi="Times New Roman"/>
          <w:i/>
          <w:iCs/>
          <w:noProof/>
          <w:sz w:val="16"/>
        </w:rPr>
        <w:t>Opt. Fiber Technol.</w:t>
      </w:r>
      <w:r w:rsidRPr="00280E5C">
        <w:rPr>
          <w:rFonts w:ascii="Times New Roman" w:hAnsi="Times New Roman"/>
          <w:noProof/>
          <w:sz w:val="16"/>
        </w:rPr>
        <w:t>, vol. 62, no. February, p. 102460, 2021, doi: 10.1016/j.yofte.2021.102460.</w:t>
      </w:r>
    </w:p>
    <w:p w14:paraId="46C21C3D"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[12]</w:t>
      </w:r>
      <w:r w:rsidRPr="00280E5C">
        <w:rPr>
          <w:rFonts w:ascii="Times New Roman" w:hAnsi="Times New Roman"/>
          <w:noProof/>
          <w:sz w:val="16"/>
        </w:rPr>
        <w:tab/>
        <w:t xml:space="preserve">Y. Deng </w:t>
      </w:r>
      <w:r w:rsidRPr="00280E5C">
        <w:rPr>
          <w:rFonts w:ascii="Times New Roman" w:hAnsi="Times New Roman"/>
          <w:i/>
          <w:iCs/>
          <w:noProof/>
          <w:sz w:val="16"/>
        </w:rPr>
        <w:t>et al.</w:t>
      </w:r>
      <w:r w:rsidRPr="00280E5C">
        <w:rPr>
          <w:rFonts w:ascii="Times New Roman" w:hAnsi="Times New Roman"/>
          <w:noProof/>
          <w:sz w:val="16"/>
        </w:rPr>
        <w:t xml:space="preserve">, “Fiber optic coupled surface plasmon resonance sensor based Ag-TiO2 films for hydrogen detection,” </w:t>
      </w:r>
      <w:r w:rsidRPr="00280E5C">
        <w:rPr>
          <w:rFonts w:ascii="Times New Roman" w:hAnsi="Times New Roman"/>
          <w:i/>
          <w:iCs/>
          <w:noProof/>
          <w:sz w:val="16"/>
        </w:rPr>
        <w:t>Opt. Fiber Technol.</w:t>
      </w:r>
      <w:r w:rsidRPr="00280E5C">
        <w:rPr>
          <w:rFonts w:ascii="Times New Roman" w:hAnsi="Times New Roman"/>
          <w:noProof/>
          <w:sz w:val="16"/>
        </w:rPr>
        <w:t>, vol. 65, no. February, 2021, doi: 10.1016/j.yofte.2021.102616.</w:t>
      </w:r>
    </w:p>
    <w:p w14:paraId="1FC21C11"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[13]</w:t>
      </w:r>
      <w:r w:rsidRPr="00280E5C">
        <w:rPr>
          <w:rFonts w:ascii="Times New Roman" w:hAnsi="Times New Roman"/>
          <w:noProof/>
          <w:sz w:val="16"/>
        </w:rPr>
        <w:tab/>
        <w:t xml:space="preserve">J. L. C. Perez </w:t>
      </w:r>
      <w:r w:rsidRPr="00280E5C">
        <w:rPr>
          <w:rFonts w:ascii="Times New Roman" w:hAnsi="Times New Roman"/>
          <w:i/>
          <w:iCs/>
          <w:noProof/>
          <w:sz w:val="16"/>
        </w:rPr>
        <w:t>et al.</w:t>
      </w:r>
      <w:r w:rsidRPr="00280E5C">
        <w:rPr>
          <w:rFonts w:ascii="Times New Roman" w:hAnsi="Times New Roman"/>
          <w:noProof/>
          <w:sz w:val="16"/>
        </w:rPr>
        <w:t xml:space="preserve">, “Fiber optic sensors: A review for glucose measurement,” </w:t>
      </w:r>
      <w:r w:rsidRPr="00280E5C">
        <w:rPr>
          <w:rFonts w:ascii="Times New Roman" w:hAnsi="Times New Roman"/>
          <w:i/>
          <w:iCs/>
          <w:noProof/>
          <w:sz w:val="16"/>
        </w:rPr>
        <w:t>Biosensors</w:t>
      </w:r>
      <w:r w:rsidRPr="00280E5C">
        <w:rPr>
          <w:rFonts w:ascii="Times New Roman" w:hAnsi="Times New Roman"/>
          <w:noProof/>
          <w:sz w:val="16"/>
        </w:rPr>
        <w:t>, vol. 11, no. 3, 2021, doi: 10.3390/bios11030061.</w:t>
      </w:r>
    </w:p>
    <w:p w14:paraId="74BB6BB9"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[14]</w:t>
      </w:r>
      <w:r w:rsidRPr="00280E5C">
        <w:rPr>
          <w:rFonts w:ascii="Times New Roman" w:hAnsi="Times New Roman"/>
          <w:noProof/>
          <w:sz w:val="16"/>
        </w:rPr>
        <w:tab/>
        <w:t xml:space="preserve">G. Besselink </w:t>
      </w:r>
      <w:r w:rsidRPr="00280E5C">
        <w:rPr>
          <w:rFonts w:ascii="Times New Roman" w:hAnsi="Times New Roman"/>
          <w:i/>
          <w:iCs/>
          <w:noProof/>
          <w:sz w:val="16"/>
        </w:rPr>
        <w:t>et al.</w:t>
      </w:r>
      <w:r w:rsidRPr="00280E5C">
        <w:rPr>
          <w:rFonts w:ascii="Times New Roman" w:hAnsi="Times New Roman"/>
          <w:noProof/>
          <w:sz w:val="16"/>
        </w:rPr>
        <w:t xml:space="preserve">, “Asymmetric Mach–Zehnder Interferometric Biosensing for Quantitative and Sensitive Multiplex Detection of Anti-SARS-CoV-2 Antibodies in Human Plasma,” </w:t>
      </w:r>
      <w:r w:rsidRPr="00280E5C">
        <w:rPr>
          <w:rFonts w:ascii="Times New Roman" w:hAnsi="Times New Roman"/>
          <w:i/>
          <w:iCs/>
          <w:noProof/>
          <w:sz w:val="16"/>
        </w:rPr>
        <w:t>Biosensors</w:t>
      </w:r>
      <w:r w:rsidRPr="00280E5C">
        <w:rPr>
          <w:rFonts w:ascii="Times New Roman" w:hAnsi="Times New Roman"/>
          <w:noProof/>
          <w:sz w:val="16"/>
        </w:rPr>
        <w:t>, vol. 12, no. 8, 2022, doi: 10.3390/bios12080553.</w:t>
      </w:r>
    </w:p>
    <w:p w14:paraId="55209736"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[15]</w:t>
      </w:r>
      <w:r w:rsidRPr="00280E5C">
        <w:rPr>
          <w:rFonts w:ascii="Times New Roman" w:hAnsi="Times New Roman"/>
          <w:noProof/>
          <w:sz w:val="16"/>
        </w:rPr>
        <w:tab/>
        <w:t xml:space="preserve">M. Sahay </w:t>
      </w:r>
      <w:r w:rsidRPr="00280E5C">
        <w:rPr>
          <w:rFonts w:ascii="Times New Roman" w:hAnsi="Times New Roman"/>
          <w:i/>
          <w:iCs/>
          <w:noProof/>
          <w:sz w:val="16"/>
        </w:rPr>
        <w:t>et al.</w:t>
      </w:r>
      <w:r w:rsidRPr="00280E5C">
        <w:rPr>
          <w:rFonts w:ascii="Times New Roman" w:hAnsi="Times New Roman"/>
          <w:noProof/>
          <w:sz w:val="16"/>
        </w:rPr>
        <w:t xml:space="preserve">, “Aetiology, practice patterns and burden of end-stage kidney disease in South Asia and South-East Asia: A questionnaire-based survey.,” </w:t>
      </w:r>
      <w:r w:rsidRPr="00280E5C">
        <w:rPr>
          <w:rFonts w:ascii="Times New Roman" w:hAnsi="Times New Roman"/>
          <w:i/>
          <w:iCs/>
          <w:noProof/>
          <w:sz w:val="16"/>
        </w:rPr>
        <w:t>Nephrology (Carlton).</w:t>
      </w:r>
      <w:r w:rsidRPr="00280E5C">
        <w:rPr>
          <w:rFonts w:ascii="Times New Roman" w:hAnsi="Times New Roman"/>
          <w:noProof/>
          <w:sz w:val="16"/>
        </w:rPr>
        <w:t>, vol. 26, no. 2, pp. 142–152, Feb. 2021, doi: 10.1111/nep.13825.</w:t>
      </w:r>
    </w:p>
    <w:p w14:paraId="5E55C7F6"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[16]</w:t>
      </w:r>
      <w:r w:rsidRPr="00280E5C">
        <w:rPr>
          <w:rFonts w:ascii="Times New Roman" w:hAnsi="Times New Roman"/>
          <w:noProof/>
          <w:sz w:val="16"/>
        </w:rPr>
        <w:tab/>
        <w:t xml:space="preserve">H. M. Teeuw, H. B. Amoakoh, C. A. Ellis, K. Lindsley, and J. L. Browne, “Diagnostic accuracy of urine dipstick tests for proteinuria in pregnant women suspected of preeclampsia: A systematic review and meta-analysis,” </w:t>
      </w:r>
      <w:r w:rsidRPr="00280E5C">
        <w:rPr>
          <w:rFonts w:ascii="Times New Roman" w:hAnsi="Times New Roman"/>
          <w:i/>
          <w:iCs/>
          <w:noProof/>
          <w:sz w:val="16"/>
        </w:rPr>
        <w:t>Pregnancy Hypertens.</w:t>
      </w:r>
      <w:r w:rsidRPr="00280E5C">
        <w:rPr>
          <w:rFonts w:ascii="Times New Roman" w:hAnsi="Times New Roman"/>
          <w:noProof/>
          <w:sz w:val="16"/>
        </w:rPr>
        <w:t>, vol. 27, no. December 2021, pp. 123–130, 2022, doi: 10.1016/j.preghy.2021.12.015.</w:t>
      </w:r>
    </w:p>
    <w:p w14:paraId="1BE4FDF0"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[17]</w:t>
      </w:r>
      <w:r w:rsidRPr="00280E5C">
        <w:rPr>
          <w:rFonts w:ascii="Times New Roman" w:hAnsi="Times New Roman"/>
          <w:noProof/>
          <w:sz w:val="16"/>
        </w:rPr>
        <w:tab/>
        <w:t xml:space="preserve">J. R. Mejia </w:t>
      </w:r>
      <w:r w:rsidRPr="00280E5C">
        <w:rPr>
          <w:rFonts w:ascii="Times New Roman" w:hAnsi="Times New Roman"/>
          <w:i/>
          <w:iCs/>
          <w:noProof/>
          <w:sz w:val="16"/>
        </w:rPr>
        <w:t>et al.</w:t>
      </w:r>
      <w:r w:rsidRPr="00280E5C">
        <w:rPr>
          <w:rFonts w:ascii="Times New Roman" w:hAnsi="Times New Roman"/>
          <w:noProof/>
          <w:sz w:val="16"/>
        </w:rPr>
        <w:t xml:space="preserve">, “Diagnostic accuracy of urine dipstick testing for albumin-to-creatinine ratio and albuminuria: A systematic review and meta-analysis,” </w:t>
      </w:r>
      <w:r w:rsidRPr="00280E5C">
        <w:rPr>
          <w:rFonts w:ascii="Times New Roman" w:hAnsi="Times New Roman"/>
          <w:i/>
          <w:iCs/>
          <w:noProof/>
          <w:sz w:val="16"/>
        </w:rPr>
        <w:t>Heliyon</w:t>
      </w:r>
      <w:r w:rsidRPr="00280E5C">
        <w:rPr>
          <w:rFonts w:ascii="Times New Roman" w:hAnsi="Times New Roman"/>
          <w:noProof/>
          <w:sz w:val="16"/>
        </w:rPr>
        <w:t>, vol. 7, no. 11, 2021, doi: 10.1016/j.heliyon.2021.e08253.</w:t>
      </w:r>
    </w:p>
    <w:p w14:paraId="3AEEA44C"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[18]</w:t>
      </w:r>
      <w:r w:rsidRPr="00280E5C">
        <w:rPr>
          <w:rFonts w:ascii="Times New Roman" w:hAnsi="Times New Roman"/>
          <w:noProof/>
          <w:sz w:val="16"/>
        </w:rPr>
        <w:tab/>
        <w:t xml:space="preserve">R. Thakur, P. Maheshwari, S. K. Datta, S. K. Dubey, and C. Shakher, “Machine Learning-Based Rapid Diagnostic-Test Reader for Albuminuria Using Smartphone,” </w:t>
      </w:r>
      <w:r w:rsidRPr="00280E5C">
        <w:rPr>
          <w:rFonts w:ascii="Times New Roman" w:hAnsi="Times New Roman"/>
          <w:i/>
          <w:iCs/>
          <w:noProof/>
          <w:sz w:val="16"/>
        </w:rPr>
        <w:t>IEEE Sens. J.</w:t>
      </w:r>
      <w:r w:rsidRPr="00280E5C">
        <w:rPr>
          <w:rFonts w:ascii="Times New Roman" w:hAnsi="Times New Roman"/>
          <w:noProof/>
          <w:sz w:val="16"/>
        </w:rPr>
        <w:t>, vol. 21, no. 13, pp. 14011–14026, 2021, doi: 10.1109/JSEN.2020.3034904.</w:t>
      </w:r>
    </w:p>
    <w:p w14:paraId="7021D5B7"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[19]</w:t>
      </w:r>
      <w:r w:rsidRPr="00280E5C">
        <w:rPr>
          <w:rFonts w:ascii="Times New Roman" w:hAnsi="Times New Roman"/>
          <w:noProof/>
          <w:sz w:val="16"/>
        </w:rPr>
        <w:tab/>
        <w:t xml:space="preserve">B. D. Frank, M. Antonietti, P. Giusto, and L. Zeininger, “Photocharging of Carbon Nitride Thin Films for Controllable Manipulation of Droplet Force Gradient Sensors,” </w:t>
      </w:r>
      <w:r w:rsidRPr="00280E5C">
        <w:rPr>
          <w:rFonts w:ascii="Times New Roman" w:hAnsi="Times New Roman"/>
          <w:i/>
          <w:iCs/>
          <w:noProof/>
          <w:sz w:val="16"/>
        </w:rPr>
        <w:t>J. Am. Chem. Soc.</w:t>
      </w:r>
      <w:r w:rsidRPr="00280E5C">
        <w:rPr>
          <w:rFonts w:ascii="Times New Roman" w:hAnsi="Times New Roman"/>
          <w:noProof/>
          <w:sz w:val="16"/>
        </w:rPr>
        <w:t>, pp. 0–5, 2023, doi: 10.1021/jacs.3c09084.</w:t>
      </w:r>
    </w:p>
    <w:p w14:paraId="5D10D313"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[20]</w:t>
      </w:r>
      <w:r w:rsidRPr="00280E5C">
        <w:rPr>
          <w:rFonts w:ascii="Times New Roman" w:hAnsi="Times New Roman"/>
          <w:noProof/>
          <w:sz w:val="16"/>
        </w:rPr>
        <w:tab/>
        <w:t xml:space="preserve">G. Wang, X. Xu, J. Ren, P. Xie, and R. Li, “Sensing performance enhancement of plasmonic waveguide sensor using a bimodal strategy with digital Gaussian filter,” </w:t>
      </w:r>
      <w:r w:rsidRPr="00280E5C">
        <w:rPr>
          <w:rFonts w:ascii="Times New Roman" w:hAnsi="Times New Roman"/>
          <w:i/>
          <w:iCs/>
          <w:noProof/>
          <w:sz w:val="16"/>
        </w:rPr>
        <w:t>Chemom. Intell. Lab. Syst.</w:t>
      </w:r>
      <w:r w:rsidRPr="00280E5C">
        <w:rPr>
          <w:rFonts w:ascii="Times New Roman" w:hAnsi="Times New Roman"/>
          <w:noProof/>
          <w:sz w:val="16"/>
        </w:rPr>
        <w:t>, vol. 245, no. October 2023, p. 105069, 2024, doi: 10.1016/j.chemolab.2024.105069.</w:t>
      </w:r>
    </w:p>
    <w:p w14:paraId="697E7B02"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[21]</w:t>
      </w:r>
      <w:r w:rsidRPr="00280E5C">
        <w:rPr>
          <w:rFonts w:ascii="Times New Roman" w:hAnsi="Times New Roman"/>
          <w:noProof/>
          <w:sz w:val="16"/>
        </w:rPr>
        <w:tab/>
        <w:t xml:space="preserve">Y. Zhao, C. Li, Z. T. Lin, Y. Wang, R. Tong, and L. Cai, “Plug-and-Play Fabry-Perot interferometric biosensor with Vernier effect for label-free detection of bovine serum albumin,” </w:t>
      </w:r>
      <w:r w:rsidRPr="00280E5C">
        <w:rPr>
          <w:rFonts w:ascii="Times New Roman" w:hAnsi="Times New Roman"/>
          <w:i/>
          <w:iCs/>
          <w:noProof/>
          <w:sz w:val="16"/>
        </w:rPr>
        <w:t>Sensors Actuators B Chem.</w:t>
      </w:r>
      <w:r w:rsidRPr="00280E5C">
        <w:rPr>
          <w:rFonts w:ascii="Times New Roman" w:hAnsi="Times New Roman"/>
          <w:noProof/>
          <w:sz w:val="16"/>
        </w:rPr>
        <w:t>, vol. 416, no. January, p. 135999, 2024, doi: 10.1016/j.snb.2024.135999.</w:t>
      </w:r>
    </w:p>
    <w:p w14:paraId="3441E647"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[22]</w:t>
      </w:r>
      <w:r w:rsidRPr="00280E5C">
        <w:rPr>
          <w:rFonts w:ascii="Times New Roman" w:hAnsi="Times New Roman"/>
          <w:noProof/>
          <w:sz w:val="16"/>
        </w:rPr>
        <w:tab/>
        <w:t xml:space="preserve">N. Burham </w:t>
      </w:r>
      <w:r w:rsidRPr="00280E5C">
        <w:rPr>
          <w:rFonts w:ascii="Times New Roman" w:hAnsi="Times New Roman"/>
          <w:i/>
          <w:iCs/>
          <w:noProof/>
          <w:sz w:val="16"/>
        </w:rPr>
        <w:t>et al.</w:t>
      </w:r>
      <w:r w:rsidRPr="00280E5C">
        <w:rPr>
          <w:rFonts w:ascii="Times New Roman" w:hAnsi="Times New Roman"/>
          <w:noProof/>
          <w:sz w:val="16"/>
        </w:rPr>
        <w:t xml:space="preserve">, “Effect of Coated Tungsten Disulfide (WS2) on Tapered Optical Fibre for Urea Detection,” </w:t>
      </w:r>
      <w:r w:rsidRPr="00280E5C">
        <w:rPr>
          <w:rFonts w:ascii="Times New Roman" w:hAnsi="Times New Roman"/>
          <w:i/>
          <w:iCs/>
          <w:noProof/>
          <w:sz w:val="16"/>
        </w:rPr>
        <w:t>J. Adv. Res. Appl. Sci. Eng. Technol.</w:t>
      </w:r>
      <w:r w:rsidRPr="00280E5C">
        <w:rPr>
          <w:rFonts w:ascii="Times New Roman" w:hAnsi="Times New Roman"/>
          <w:noProof/>
          <w:sz w:val="16"/>
        </w:rPr>
        <w:t>, vol. 39, no. 2, pp. 181–190, 2024, doi: 10.37934/araset.39.2.181190.</w:t>
      </w:r>
    </w:p>
    <w:p w14:paraId="5F2BF082"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[23]</w:t>
      </w:r>
      <w:r w:rsidRPr="00280E5C">
        <w:rPr>
          <w:rFonts w:ascii="Times New Roman" w:hAnsi="Times New Roman"/>
          <w:noProof/>
          <w:sz w:val="16"/>
        </w:rPr>
        <w:tab/>
        <w:t xml:space="preserve">M. A. Mustapa, M. H. Abu Bakar, Y. Mustapha Kamil, A. Syahir, and M. A. Mahdi, “Bio-Functionalized Tapered Multimode Fiber Coated with Dengue Virus NS1 Glycoprotein for Label Free Detection of Anti-Dengue Virus NS1 IgG Antibody,” </w:t>
      </w:r>
      <w:r w:rsidRPr="00280E5C">
        <w:rPr>
          <w:rFonts w:ascii="Times New Roman" w:hAnsi="Times New Roman"/>
          <w:i/>
          <w:iCs/>
          <w:noProof/>
          <w:sz w:val="16"/>
        </w:rPr>
        <w:t>IEEE Sens. J.</w:t>
      </w:r>
      <w:r w:rsidRPr="00280E5C">
        <w:rPr>
          <w:rFonts w:ascii="Times New Roman" w:hAnsi="Times New Roman"/>
          <w:noProof/>
          <w:sz w:val="16"/>
        </w:rPr>
        <w:t>, vol. 18, no. 10, pp. 4066–4072, 2018, doi: 10.1109/JSEN.2018.2813385.</w:t>
      </w:r>
    </w:p>
    <w:p w14:paraId="33B68657"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[24]</w:t>
      </w:r>
      <w:r w:rsidRPr="00280E5C">
        <w:rPr>
          <w:rFonts w:ascii="Times New Roman" w:hAnsi="Times New Roman"/>
          <w:noProof/>
          <w:sz w:val="16"/>
        </w:rPr>
        <w:tab/>
        <w:t xml:space="preserve">N. H. Zainuddin </w:t>
      </w:r>
      <w:r w:rsidRPr="00280E5C">
        <w:rPr>
          <w:rFonts w:ascii="Times New Roman" w:hAnsi="Times New Roman"/>
          <w:i/>
          <w:iCs/>
          <w:noProof/>
          <w:sz w:val="16"/>
        </w:rPr>
        <w:t>et al.</w:t>
      </w:r>
      <w:r w:rsidRPr="00280E5C">
        <w:rPr>
          <w:rFonts w:ascii="Times New Roman" w:hAnsi="Times New Roman"/>
          <w:noProof/>
          <w:sz w:val="16"/>
        </w:rPr>
        <w:t xml:space="preserve">, “Enhanced detection sensitivity of Leptospira DNA using a post-deposition annealed carbon quantum dots integrated tapered optical fiber biosensor,” </w:t>
      </w:r>
      <w:r w:rsidRPr="00280E5C">
        <w:rPr>
          <w:rFonts w:ascii="Times New Roman" w:hAnsi="Times New Roman"/>
          <w:i/>
          <w:iCs/>
          <w:noProof/>
          <w:sz w:val="16"/>
        </w:rPr>
        <w:t>Opt. Mater. (Amst).</w:t>
      </w:r>
      <w:r w:rsidRPr="00280E5C">
        <w:rPr>
          <w:rFonts w:ascii="Times New Roman" w:hAnsi="Times New Roman"/>
          <w:noProof/>
          <w:sz w:val="16"/>
        </w:rPr>
        <w:t>, vol. 141, no. March, p. 113926, 2023, doi: 10.1016/j.optmat.2023.113926.</w:t>
      </w:r>
    </w:p>
    <w:p w14:paraId="7C4C8CA5"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[25]</w:t>
      </w:r>
      <w:r w:rsidRPr="00280E5C">
        <w:rPr>
          <w:rFonts w:ascii="Times New Roman" w:hAnsi="Times New Roman"/>
          <w:noProof/>
          <w:sz w:val="16"/>
        </w:rPr>
        <w:tab/>
        <w:t xml:space="preserve">X. Zhao, R. Liu, Z. Chi, Y. Teng, and P. Qin, “New insights into the behavior of bovine serum albumin adsorbed onto carbon nanotubes: Comprehensive spectroscopic studies,” </w:t>
      </w:r>
      <w:r w:rsidRPr="00280E5C">
        <w:rPr>
          <w:rFonts w:ascii="Times New Roman" w:hAnsi="Times New Roman"/>
          <w:i/>
          <w:iCs/>
          <w:noProof/>
          <w:sz w:val="16"/>
        </w:rPr>
        <w:t>J. Phys. Chem. B</w:t>
      </w:r>
      <w:r w:rsidRPr="00280E5C">
        <w:rPr>
          <w:rFonts w:ascii="Times New Roman" w:hAnsi="Times New Roman"/>
          <w:noProof/>
          <w:sz w:val="16"/>
        </w:rPr>
        <w:t>, vol. 114, no. 16, pp. 5625–5631, 2010, doi: 10.1021/jp100903x.</w:t>
      </w:r>
    </w:p>
    <w:p w14:paraId="1FBC9C5D"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[26]</w:t>
      </w:r>
      <w:r w:rsidRPr="00280E5C">
        <w:rPr>
          <w:rFonts w:ascii="Times New Roman" w:hAnsi="Times New Roman"/>
          <w:noProof/>
          <w:sz w:val="16"/>
        </w:rPr>
        <w:tab/>
        <w:t xml:space="preserve">S. Prasad </w:t>
      </w:r>
      <w:r w:rsidRPr="00280E5C">
        <w:rPr>
          <w:rFonts w:ascii="Times New Roman" w:hAnsi="Times New Roman"/>
          <w:i/>
          <w:iCs/>
          <w:noProof/>
          <w:sz w:val="16"/>
        </w:rPr>
        <w:t>et al.</w:t>
      </w:r>
      <w:r w:rsidRPr="00280E5C">
        <w:rPr>
          <w:rFonts w:ascii="Times New Roman" w:hAnsi="Times New Roman"/>
          <w:noProof/>
          <w:sz w:val="16"/>
        </w:rPr>
        <w:t xml:space="preserve">, “Near UV-Visible electronic absorption originating from charged amino acids in a monomeric protein,” </w:t>
      </w:r>
      <w:r w:rsidRPr="00280E5C">
        <w:rPr>
          <w:rFonts w:ascii="Times New Roman" w:hAnsi="Times New Roman"/>
          <w:i/>
          <w:iCs/>
          <w:noProof/>
          <w:sz w:val="16"/>
        </w:rPr>
        <w:t>Chem. Sci.</w:t>
      </w:r>
      <w:r w:rsidRPr="00280E5C">
        <w:rPr>
          <w:rFonts w:ascii="Times New Roman" w:hAnsi="Times New Roman"/>
          <w:noProof/>
          <w:sz w:val="16"/>
        </w:rPr>
        <w:t>, vol. 8, no. 8, pp. 5416–5433, 2017, doi: 10.1039/c7sc00880e.</w:t>
      </w:r>
    </w:p>
    <w:p w14:paraId="21C77088"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[27]</w:t>
      </w:r>
      <w:r w:rsidRPr="00280E5C">
        <w:rPr>
          <w:rFonts w:ascii="Times New Roman" w:hAnsi="Times New Roman"/>
          <w:noProof/>
          <w:sz w:val="16"/>
        </w:rPr>
        <w:tab/>
        <w:t xml:space="preserve">A. Merdalimova </w:t>
      </w:r>
      <w:r w:rsidRPr="00280E5C">
        <w:rPr>
          <w:rFonts w:ascii="Times New Roman" w:hAnsi="Times New Roman"/>
          <w:i/>
          <w:iCs/>
          <w:noProof/>
          <w:sz w:val="16"/>
        </w:rPr>
        <w:t>et al.</w:t>
      </w:r>
      <w:r w:rsidRPr="00280E5C">
        <w:rPr>
          <w:rFonts w:ascii="Times New Roman" w:hAnsi="Times New Roman"/>
          <w:noProof/>
          <w:sz w:val="16"/>
        </w:rPr>
        <w:t xml:space="preserve">, “Two-in-one sensor of refractive index and Raman scattering using hollow−core microstructured optical waveguides for colloid characterization,” </w:t>
      </w:r>
      <w:r w:rsidRPr="00280E5C">
        <w:rPr>
          <w:rFonts w:ascii="Times New Roman" w:hAnsi="Times New Roman"/>
          <w:i/>
          <w:iCs/>
          <w:noProof/>
          <w:sz w:val="16"/>
        </w:rPr>
        <w:t>Colloids Surfaces B Biointerfaces</w:t>
      </w:r>
      <w:r w:rsidRPr="00280E5C">
        <w:rPr>
          <w:rFonts w:ascii="Times New Roman" w:hAnsi="Times New Roman"/>
          <w:noProof/>
          <w:sz w:val="16"/>
        </w:rPr>
        <w:t>, vol. 234, no. December 2023, p. 113705, 2024, doi: 10.1016/j.colsurfb.2023.113705.</w:t>
      </w:r>
    </w:p>
    <w:p w14:paraId="7B34D596"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[28]</w:t>
      </w:r>
      <w:r w:rsidRPr="00280E5C">
        <w:rPr>
          <w:rFonts w:ascii="Times New Roman" w:hAnsi="Times New Roman"/>
          <w:noProof/>
          <w:sz w:val="16"/>
        </w:rPr>
        <w:tab/>
        <w:t xml:space="preserve">N. A. Behnaz Abbasgholi, N. Shokoufi, and S. Nouri Hajibaba, </w:t>
      </w:r>
      <w:r w:rsidRPr="00280E5C">
        <w:rPr>
          <w:rFonts w:ascii="Times New Roman" w:hAnsi="Times New Roman"/>
          <w:noProof/>
          <w:sz w:val="16"/>
        </w:rPr>
        <w:t xml:space="preserve">“Bovine serum albumin determination based on methylene blue detection by photothermal lens spectroscopy,” </w:t>
      </w:r>
      <w:r w:rsidRPr="00280E5C">
        <w:rPr>
          <w:rFonts w:ascii="Times New Roman" w:hAnsi="Times New Roman"/>
          <w:i/>
          <w:iCs/>
          <w:noProof/>
          <w:sz w:val="16"/>
        </w:rPr>
        <w:t>Anal. Biochem.</w:t>
      </w:r>
      <w:r w:rsidRPr="00280E5C">
        <w:rPr>
          <w:rFonts w:ascii="Times New Roman" w:hAnsi="Times New Roman"/>
          <w:noProof/>
          <w:sz w:val="16"/>
        </w:rPr>
        <w:t>, vol. 594, no. January, p. 113621, 2020, doi: 10.1016/j.ab.2020.113621.</w:t>
      </w:r>
    </w:p>
    <w:p w14:paraId="34F2E6EF"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[29]</w:t>
      </w:r>
      <w:r w:rsidRPr="00280E5C">
        <w:rPr>
          <w:rFonts w:ascii="Times New Roman" w:hAnsi="Times New Roman"/>
          <w:noProof/>
          <w:sz w:val="16"/>
        </w:rPr>
        <w:tab/>
        <w:t xml:space="preserve">M. Beyer, C. Hladun, and F. Bou-Abdallah, “Detection of proteins with ascorbic acid-capped gold nanoparticles: a simple and highly sensitive colorimetric assay,” </w:t>
      </w:r>
      <w:r w:rsidRPr="00280E5C">
        <w:rPr>
          <w:rFonts w:ascii="Times New Roman" w:hAnsi="Times New Roman"/>
          <w:i/>
          <w:iCs/>
          <w:noProof/>
          <w:sz w:val="16"/>
        </w:rPr>
        <w:t>Anal. Methods</w:t>
      </w:r>
      <w:r w:rsidRPr="00280E5C">
        <w:rPr>
          <w:rFonts w:ascii="Times New Roman" w:hAnsi="Times New Roman"/>
          <w:noProof/>
          <w:sz w:val="16"/>
        </w:rPr>
        <w:t>, vol. 16, no. 31, 2024, doi: 10.1039/d4ay01146e.</w:t>
      </w:r>
    </w:p>
    <w:p w14:paraId="65923A03" w14:textId="77777777" w:rsid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[30]</w:t>
      </w:r>
      <w:r w:rsidRPr="00280E5C">
        <w:rPr>
          <w:rFonts w:ascii="Times New Roman" w:hAnsi="Times New Roman"/>
          <w:noProof/>
          <w:sz w:val="16"/>
        </w:rPr>
        <w:tab/>
        <w:t xml:space="preserve">R. Wang, H. Wu, M. Qi, J. Han, and Z. Ren, “Bovine Serum Albumin Detection by Graphene Oxide Coated Long-Period Fiber Grating,” </w:t>
      </w:r>
      <w:r w:rsidRPr="00280E5C">
        <w:rPr>
          <w:rFonts w:ascii="Times New Roman" w:hAnsi="Times New Roman"/>
          <w:i/>
          <w:iCs/>
          <w:noProof/>
          <w:sz w:val="16"/>
        </w:rPr>
        <w:t>Photonic Sensors</w:t>
      </w:r>
      <w:r w:rsidRPr="00280E5C">
        <w:rPr>
          <w:rFonts w:ascii="Times New Roman" w:hAnsi="Times New Roman"/>
          <w:noProof/>
          <w:sz w:val="16"/>
        </w:rPr>
        <w:t>, vol. 12, no. 3, pp. 1–10, 2022, doi: 10.1007/s13320-022-0649-6.</w:t>
      </w:r>
    </w:p>
    <w:p w14:paraId="76873B3A" w14:textId="64232461" w:rsidR="00EE1AC4" w:rsidRPr="00EE1AC4" w:rsidRDefault="00372ABF" w:rsidP="00C33A21">
      <w:pPr>
        <w:widowControl w:val="0"/>
        <w:autoSpaceDE w:val="0"/>
        <w:autoSpaceDN w:val="0"/>
        <w:adjustRightInd w:val="0"/>
        <w:ind w:left="640" w:hanging="640"/>
      </w:pPr>
      <w:r>
        <w:fldChar w:fldCharType="end"/>
      </w:r>
    </w:p>
    <w:sectPr w:rsidR="00EE1AC4" w:rsidRPr="00EE1AC4" w:rsidSect="00D22505">
      <w:headerReference w:type="even" r:id="rId30"/>
      <w:type w:val="continuous"/>
      <w:pgSz w:w="11906" w:h="16838" w:code="9"/>
      <w:pgMar w:top="288" w:right="720" w:bottom="720" w:left="720" w:header="720" w:footer="238" w:gutter="0"/>
      <w:cols w:num="2" w:space="360"/>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BB4DF" w14:textId="77777777" w:rsidR="00B54E88" w:rsidRDefault="00B54E88" w:rsidP="00CA16B7">
      <w:r>
        <w:separator/>
      </w:r>
    </w:p>
  </w:endnote>
  <w:endnote w:type="continuationSeparator" w:id="0">
    <w:p w14:paraId="22D869EA" w14:textId="77777777" w:rsidR="00B54E88" w:rsidRDefault="00B54E88" w:rsidP="00CA16B7">
      <w:r>
        <w:continuationSeparator/>
      </w:r>
    </w:p>
  </w:endnote>
  <w:endnote w:type="continuationNotice" w:id="1">
    <w:p w14:paraId="0C069FF4" w14:textId="77777777" w:rsidR="00B54E88" w:rsidRDefault="00B54E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DF5FF" w14:textId="77777777" w:rsidR="00F314EA" w:rsidRPr="00F314EA" w:rsidRDefault="00F314EA" w:rsidP="00F314EA">
    <w:pPr>
      <w:jc w:val="center"/>
      <w:rPr>
        <w:sz w:val="16"/>
        <w:szCs w:val="16"/>
      </w:rPr>
    </w:pPr>
    <w:r w:rsidRPr="00F314EA">
      <w:rPr>
        <w:sz w:val="16"/>
        <w:szCs w:val="16"/>
      </w:rPr>
      <w:fldChar w:fldCharType="begin"/>
    </w:r>
    <w:r w:rsidRPr="00F314EA">
      <w:rPr>
        <w:sz w:val="16"/>
        <w:szCs w:val="16"/>
      </w:rPr>
      <w:instrText xml:space="preserve"> PAGE   \* MERGEFORMAT </w:instrText>
    </w:r>
    <w:r w:rsidRPr="00F314EA">
      <w:rPr>
        <w:sz w:val="16"/>
        <w:szCs w:val="16"/>
      </w:rPr>
      <w:fldChar w:fldCharType="separate"/>
    </w:r>
    <w:r w:rsidRPr="00F314EA">
      <w:rPr>
        <w:noProof/>
        <w:sz w:val="16"/>
        <w:szCs w:val="16"/>
      </w:rPr>
      <w:t>2</w:t>
    </w:r>
    <w:r w:rsidRPr="00F314EA">
      <w:rPr>
        <w:noProof/>
        <w:sz w:val="16"/>
        <w:szCs w:val="16"/>
      </w:rPr>
      <w:fldChar w:fldCharType="end"/>
    </w:r>
  </w:p>
  <w:p w14:paraId="1A530A66" w14:textId="77777777" w:rsidR="00F314EA" w:rsidRDefault="00F314E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278BC" w14:textId="77777777" w:rsidR="00F314EA" w:rsidRPr="00F314EA" w:rsidRDefault="00F314EA" w:rsidP="00F314EA">
    <w:pPr>
      <w:jc w:val="center"/>
      <w:rPr>
        <w:sz w:val="16"/>
        <w:szCs w:val="16"/>
      </w:rPr>
    </w:pPr>
    <w:r w:rsidRPr="00F314EA">
      <w:rPr>
        <w:sz w:val="16"/>
        <w:szCs w:val="16"/>
      </w:rPr>
      <w:fldChar w:fldCharType="begin"/>
    </w:r>
    <w:r w:rsidRPr="00F314EA">
      <w:rPr>
        <w:sz w:val="16"/>
        <w:szCs w:val="16"/>
      </w:rPr>
      <w:instrText xml:space="preserve"> PAGE   \* MERGEFORMAT </w:instrText>
    </w:r>
    <w:r w:rsidRPr="00F314EA">
      <w:rPr>
        <w:sz w:val="16"/>
        <w:szCs w:val="16"/>
      </w:rPr>
      <w:fldChar w:fldCharType="separate"/>
    </w:r>
    <w:r w:rsidRPr="00F314EA">
      <w:rPr>
        <w:noProof/>
        <w:sz w:val="16"/>
        <w:szCs w:val="16"/>
      </w:rPr>
      <w:t>2</w:t>
    </w:r>
    <w:r w:rsidRPr="00F314EA">
      <w:rPr>
        <w:noProof/>
        <w:sz w:val="16"/>
        <w:szCs w:val="16"/>
      </w:rPr>
      <w:fldChar w:fldCharType="end"/>
    </w:r>
  </w:p>
  <w:p w14:paraId="03AEA722" w14:textId="77777777" w:rsidR="00F314EA" w:rsidRDefault="00F314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BFC00B" w14:textId="77777777" w:rsidR="00B54E88" w:rsidRDefault="00B54E88" w:rsidP="00CA16B7">
      <w:r>
        <w:separator/>
      </w:r>
    </w:p>
  </w:footnote>
  <w:footnote w:type="continuationSeparator" w:id="0">
    <w:p w14:paraId="74327BA3" w14:textId="77777777" w:rsidR="00B54E88" w:rsidRDefault="00B54E88" w:rsidP="00CA16B7">
      <w:r>
        <w:continuationSeparator/>
      </w:r>
    </w:p>
  </w:footnote>
  <w:footnote w:type="continuationNotice" w:id="1">
    <w:p w14:paraId="4A13151A" w14:textId="77777777" w:rsidR="00B54E88" w:rsidRDefault="00B54E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0DC08" w14:textId="77777777" w:rsidR="00AB34A9" w:rsidRDefault="00AB34A9" w:rsidP="00CA16B7">
    <w:r>
      <w:fldChar w:fldCharType="begin"/>
    </w:r>
    <w:r>
      <w:instrText xml:space="preserve">PAGE  </w:instrText>
    </w:r>
    <w:r>
      <w:fldChar w:fldCharType="separate"/>
    </w:r>
    <w:r>
      <w:t>2</w:t>
    </w:r>
    <w:r>
      <w:fldChar w:fldCharType="end"/>
    </w:r>
  </w:p>
  <w:p w14:paraId="0225F06F" w14:textId="77777777" w:rsidR="00AB34A9" w:rsidRDefault="00AB34A9" w:rsidP="00CA16B7">
    <w:r>
      <w:t>COMADEM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2F3FB" w14:textId="77777777" w:rsidR="00AB34A9" w:rsidRPr="00D73E8F" w:rsidRDefault="00AB34A9" w:rsidP="00F314EA">
    <w:pPr>
      <w:spacing w:after="100" w:afterAutospacing="1"/>
      <w:rPr>
        <w:rFonts w:ascii="Times New Roman" w:hAnsi="Times New Roman"/>
        <w:sz w:val="18"/>
        <w:szCs w:val="18"/>
      </w:rPr>
    </w:pPr>
    <w:r w:rsidRPr="00D73E8F">
      <w:rPr>
        <w:rFonts w:ascii="Times New Roman" w:hAnsi="Times New Roman"/>
        <w:sz w:val="18"/>
        <w:szCs w:val="18"/>
      </w:rPr>
      <w:t>I</w:t>
    </w:r>
    <w:r w:rsidR="009C0068" w:rsidRPr="00D73E8F">
      <w:rPr>
        <w:rFonts w:ascii="Times New Roman" w:hAnsi="Times New Roman"/>
        <w:sz w:val="18"/>
        <w:szCs w:val="18"/>
      </w:rPr>
      <w:t xml:space="preserve">nternational </w:t>
    </w:r>
    <w:r w:rsidR="009E32C3">
      <w:rPr>
        <w:rFonts w:ascii="Times New Roman" w:hAnsi="Times New Roman"/>
        <w:sz w:val="18"/>
        <w:szCs w:val="18"/>
      </w:rPr>
      <w:t>J</w:t>
    </w:r>
    <w:r w:rsidR="009C0068" w:rsidRPr="00D73E8F">
      <w:rPr>
        <w:rFonts w:ascii="Times New Roman" w:hAnsi="Times New Roman"/>
        <w:sz w:val="18"/>
        <w:szCs w:val="18"/>
      </w:rPr>
      <w:t>ournal of Nanoelectronics and Materials (IJN</w:t>
    </w:r>
    <w:r w:rsidR="00046EBC">
      <w:rPr>
        <w:rFonts w:ascii="Times New Roman" w:hAnsi="Times New Roman"/>
        <w:sz w:val="18"/>
        <w:szCs w:val="18"/>
      </w:rPr>
      <w:t>e</w:t>
    </w:r>
    <w:r w:rsidR="009C0068" w:rsidRPr="00D73E8F">
      <w:rPr>
        <w:rFonts w:ascii="Times New Roman" w:hAnsi="Times New Roman"/>
        <w:sz w:val="18"/>
        <w:szCs w:val="18"/>
      </w:rPr>
      <w:t>aM)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C4100" w14:textId="77777777" w:rsidR="00EA3FCD" w:rsidRDefault="001A321B" w:rsidP="009E32C3">
    <w:r>
      <w:rPr>
        <w:noProof/>
      </w:rPr>
      <w:drawing>
        <wp:anchor distT="0" distB="0" distL="114300" distR="114300" simplePos="0" relativeHeight="251663872" behindDoc="0" locked="0" layoutInCell="1" allowOverlap="1" wp14:anchorId="024F007D" wp14:editId="2BD27076">
          <wp:simplePos x="0" y="0"/>
          <wp:positionH relativeFrom="margin">
            <wp:posOffset>-449580</wp:posOffset>
          </wp:positionH>
          <wp:positionV relativeFrom="margin">
            <wp:posOffset>-1596390</wp:posOffset>
          </wp:positionV>
          <wp:extent cx="7560000" cy="1441515"/>
          <wp:effectExtent l="0" t="0" r="3175" b="6350"/>
          <wp:wrapSquare wrapText="bothSides"/>
          <wp:docPr id="1866870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44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C1445" w14:textId="77777777" w:rsidR="00AB34A9" w:rsidRDefault="00AB34A9" w:rsidP="00CA16B7">
    <w:r>
      <w:fldChar w:fldCharType="begin"/>
    </w:r>
    <w:r>
      <w:instrText xml:space="preserve">PAGE  </w:instrText>
    </w:r>
    <w:r>
      <w:fldChar w:fldCharType="separate"/>
    </w:r>
    <w:r>
      <w:rPr>
        <w:noProof/>
      </w:rPr>
      <w:t>4</w:t>
    </w:r>
    <w:r>
      <w:fldChar w:fldCharType="end"/>
    </w:r>
  </w:p>
  <w:p w14:paraId="369289D0" w14:textId="77777777" w:rsidR="00AB34A9" w:rsidRDefault="00AB34A9" w:rsidP="00CA16B7">
    <w:r>
      <w:t>COMADEM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03620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C14C3D"/>
    <w:multiLevelType w:val="hybridMultilevel"/>
    <w:tmpl w:val="0C0ED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72F5B"/>
    <w:multiLevelType w:val="hybridMultilevel"/>
    <w:tmpl w:val="3982C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35F5F"/>
    <w:multiLevelType w:val="multilevel"/>
    <w:tmpl w:val="0D3AD25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1B8042E1"/>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1E0721E7"/>
    <w:multiLevelType w:val="hybridMultilevel"/>
    <w:tmpl w:val="AA422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2E639A"/>
    <w:multiLevelType w:val="hybridMultilevel"/>
    <w:tmpl w:val="167E2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226986"/>
    <w:multiLevelType w:val="hybridMultilevel"/>
    <w:tmpl w:val="9988602C"/>
    <w:lvl w:ilvl="0" w:tplc="F314CD34">
      <w:start w:val="1"/>
      <w:numFmt w:val="decimal"/>
      <w:pStyle w:val="IJNEAMListofRefrences"/>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375739FE"/>
    <w:multiLevelType w:val="hybridMultilevel"/>
    <w:tmpl w:val="F11A1AA8"/>
    <w:lvl w:ilvl="0" w:tplc="04090001">
      <w:start w:val="1"/>
      <w:numFmt w:val="bullet"/>
      <w:lvlText w:val=""/>
      <w:lvlJc w:val="left"/>
      <w:pPr>
        <w:ind w:left="590" w:hanging="360"/>
      </w:pPr>
      <w:rPr>
        <w:rFonts w:ascii="Symbol" w:hAnsi="Symbol" w:hint="default"/>
      </w:rPr>
    </w:lvl>
    <w:lvl w:ilvl="1" w:tplc="04090003" w:tentative="1">
      <w:start w:val="1"/>
      <w:numFmt w:val="bullet"/>
      <w:lvlText w:val="o"/>
      <w:lvlJc w:val="left"/>
      <w:pPr>
        <w:ind w:left="1310" w:hanging="360"/>
      </w:pPr>
      <w:rPr>
        <w:rFonts w:ascii="Courier New" w:hAnsi="Courier New" w:hint="default"/>
      </w:rPr>
    </w:lvl>
    <w:lvl w:ilvl="2" w:tplc="04090005" w:tentative="1">
      <w:start w:val="1"/>
      <w:numFmt w:val="bullet"/>
      <w:lvlText w:val=""/>
      <w:lvlJc w:val="left"/>
      <w:pPr>
        <w:ind w:left="2030" w:hanging="360"/>
      </w:pPr>
      <w:rPr>
        <w:rFonts w:ascii="Wingdings" w:hAnsi="Wingdings" w:hint="default"/>
      </w:rPr>
    </w:lvl>
    <w:lvl w:ilvl="3" w:tplc="04090001" w:tentative="1">
      <w:start w:val="1"/>
      <w:numFmt w:val="bullet"/>
      <w:lvlText w:val=""/>
      <w:lvlJc w:val="left"/>
      <w:pPr>
        <w:ind w:left="2750" w:hanging="360"/>
      </w:pPr>
      <w:rPr>
        <w:rFonts w:ascii="Symbol" w:hAnsi="Symbol" w:hint="default"/>
      </w:rPr>
    </w:lvl>
    <w:lvl w:ilvl="4" w:tplc="04090003" w:tentative="1">
      <w:start w:val="1"/>
      <w:numFmt w:val="bullet"/>
      <w:lvlText w:val="o"/>
      <w:lvlJc w:val="left"/>
      <w:pPr>
        <w:ind w:left="3470" w:hanging="360"/>
      </w:pPr>
      <w:rPr>
        <w:rFonts w:ascii="Courier New" w:hAnsi="Courier New" w:hint="default"/>
      </w:rPr>
    </w:lvl>
    <w:lvl w:ilvl="5" w:tplc="04090005" w:tentative="1">
      <w:start w:val="1"/>
      <w:numFmt w:val="bullet"/>
      <w:lvlText w:val=""/>
      <w:lvlJc w:val="left"/>
      <w:pPr>
        <w:ind w:left="4190" w:hanging="360"/>
      </w:pPr>
      <w:rPr>
        <w:rFonts w:ascii="Wingdings" w:hAnsi="Wingdings" w:hint="default"/>
      </w:rPr>
    </w:lvl>
    <w:lvl w:ilvl="6" w:tplc="04090001" w:tentative="1">
      <w:start w:val="1"/>
      <w:numFmt w:val="bullet"/>
      <w:lvlText w:val=""/>
      <w:lvlJc w:val="left"/>
      <w:pPr>
        <w:ind w:left="4910" w:hanging="360"/>
      </w:pPr>
      <w:rPr>
        <w:rFonts w:ascii="Symbol" w:hAnsi="Symbol" w:hint="default"/>
      </w:rPr>
    </w:lvl>
    <w:lvl w:ilvl="7" w:tplc="04090003" w:tentative="1">
      <w:start w:val="1"/>
      <w:numFmt w:val="bullet"/>
      <w:lvlText w:val="o"/>
      <w:lvlJc w:val="left"/>
      <w:pPr>
        <w:ind w:left="5630" w:hanging="360"/>
      </w:pPr>
      <w:rPr>
        <w:rFonts w:ascii="Courier New" w:hAnsi="Courier New" w:hint="default"/>
      </w:rPr>
    </w:lvl>
    <w:lvl w:ilvl="8" w:tplc="04090005" w:tentative="1">
      <w:start w:val="1"/>
      <w:numFmt w:val="bullet"/>
      <w:lvlText w:val=""/>
      <w:lvlJc w:val="left"/>
      <w:pPr>
        <w:ind w:left="6350" w:hanging="360"/>
      </w:pPr>
      <w:rPr>
        <w:rFonts w:ascii="Wingdings" w:hAnsi="Wingdings" w:hint="default"/>
      </w:rPr>
    </w:lvl>
  </w:abstractNum>
  <w:abstractNum w:abstractNumId="9" w15:restartNumberingAfterBreak="0">
    <w:nsid w:val="3821770D"/>
    <w:multiLevelType w:val="hybridMultilevel"/>
    <w:tmpl w:val="F50EAB16"/>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4A4A4AFC"/>
    <w:multiLevelType w:val="hybridMultilevel"/>
    <w:tmpl w:val="A1BAC5D2"/>
    <w:lvl w:ilvl="0" w:tplc="A140BDA0">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069112E"/>
    <w:multiLevelType w:val="multilevel"/>
    <w:tmpl w:val="1F3A7004"/>
    <w:lvl w:ilvl="0">
      <w:start w:val="1"/>
      <w:numFmt w:val="decimal"/>
      <w:pStyle w:val="Heading1"/>
      <w:suff w:val="space"/>
      <w:lvlText w:val="%1."/>
      <w:lvlJc w:val="left"/>
      <w:pPr>
        <w:ind w:left="0" w:firstLine="0"/>
      </w:pPr>
      <w:rPr>
        <w:rFonts w:hint="default"/>
        <w:sz w:val="20"/>
        <w:szCs w:val="24"/>
      </w:rPr>
    </w:lvl>
    <w:lvl w:ilvl="1">
      <w:start w:val="1"/>
      <w:numFmt w:val="decimal"/>
      <w:pStyle w:val="Heading2"/>
      <w:suff w:val="space"/>
      <w:lvlText w:val="%1.%2."/>
      <w:lvlJc w:val="left"/>
      <w:pPr>
        <w:ind w:left="0" w:firstLine="0"/>
      </w:pPr>
      <w:rPr>
        <w:rFonts w:ascii="Cambria" w:hAnsi="Cambria" w:hint="default"/>
        <w:b/>
        <w:i w:val="0"/>
        <w:color w:val="auto"/>
        <w:sz w:val="20"/>
      </w:rPr>
    </w:lvl>
    <w:lvl w:ilvl="2">
      <w:start w:val="1"/>
      <w:numFmt w:val="decimal"/>
      <w:pStyle w:val="Heading3"/>
      <w:suff w:val="space"/>
      <w:lvlText w:val="%1.%2.%3."/>
      <w:lvlJc w:val="left"/>
      <w:pPr>
        <w:ind w:left="0" w:firstLine="0"/>
      </w:pPr>
      <w:rPr>
        <w:rFonts w:hint="default"/>
        <w:i w:val="0"/>
        <w:iCs/>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62047F4E"/>
    <w:multiLevelType w:val="singleLevel"/>
    <w:tmpl w:val="71042C9C"/>
    <w:lvl w:ilvl="0">
      <w:start w:val="1"/>
      <w:numFmt w:val="decimal"/>
      <w:lvlText w:val="%1."/>
      <w:lvlJc w:val="left"/>
      <w:pPr>
        <w:tabs>
          <w:tab w:val="num" w:pos="360"/>
        </w:tabs>
        <w:ind w:left="360" w:hanging="360"/>
      </w:pPr>
      <w:rPr>
        <w:rFonts w:hint="default"/>
      </w:rPr>
    </w:lvl>
  </w:abstractNum>
  <w:abstractNum w:abstractNumId="13" w15:restartNumberingAfterBreak="0">
    <w:nsid w:val="681D69DB"/>
    <w:multiLevelType w:val="singleLevel"/>
    <w:tmpl w:val="A7B2EB36"/>
    <w:lvl w:ilvl="0">
      <w:start w:val="1"/>
      <w:numFmt w:val="decimal"/>
      <w:lvlText w:val="%1."/>
      <w:lvlJc w:val="left"/>
      <w:pPr>
        <w:tabs>
          <w:tab w:val="num" w:pos="360"/>
        </w:tabs>
        <w:ind w:left="360" w:hanging="360"/>
      </w:pPr>
      <w:rPr>
        <w:rFonts w:hint="default"/>
      </w:rPr>
    </w:lvl>
  </w:abstractNum>
  <w:abstractNum w:abstractNumId="14" w15:restartNumberingAfterBreak="0">
    <w:nsid w:val="6A4777A0"/>
    <w:multiLevelType w:val="hybridMultilevel"/>
    <w:tmpl w:val="CD4C7E7E"/>
    <w:lvl w:ilvl="0" w:tplc="3D2E9B1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A5C2811"/>
    <w:multiLevelType w:val="multilevel"/>
    <w:tmpl w:val="9AC857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73C341CF"/>
    <w:multiLevelType w:val="multilevel"/>
    <w:tmpl w:val="B0C85C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77EC77CB"/>
    <w:multiLevelType w:val="multilevel"/>
    <w:tmpl w:val="2432D85A"/>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num w:numId="1" w16cid:durableId="1883861048">
    <w:abstractNumId w:val="12"/>
  </w:num>
  <w:num w:numId="2" w16cid:durableId="1619294763">
    <w:abstractNumId w:val="13"/>
  </w:num>
  <w:num w:numId="3" w16cid:durableId="238910028">
    <w:abstractNumId w:val="3"/>
  </w:num>
  <w:num w:numId="4" w16cid:durableId="2077123888">
    <w:abstractNumId w:val="16"/>
  </w:num>
  <w:num w:numId="5" w16cid:durableId="863401750">
    <w:abstractNumId w:val="15"/>
  </w:num>
  <w:num w:numId="6" w16cid:durableId="1419517177">
    <w:abstractNumId w:val="4"/>
  </w:num>
  <w:num w:numId="7" w16cid:durableId="740449468">
    <w:abstractNumId w:val="10"/>
  </w:num>
  <w:num w:numId="8" w16cid:durableId="1950963334">
    <w:abstractNumId w:val="11"/>
  </w:num>
  <w:num w:numId="9" w16cid:durableId="362245620">
    <w:abstractNumId w:val="17"/>
  </w:num>
  <w:num w:numId="10" w16cid:durableId="2143225637">
    <w:abstractNumId w:val="14"/>
  </w:num>
  <w:num w:numId="11" w16cid:durableId="1241867630">
    <w:abstractNumId w:val="0"/>
  </w:num>
  <w:num w:numId="12" w16cid:durableId="195393740">
    <w:abstractNumId w:val="10"/>
  </w:num>
  <w:num w:numId="13" w16cid:durableId="2012298119">
    <w:abstractNumId w:val="10"/>
    <w:lvlOverride w:ilvl="0">
      <w:startOverride w:val="1"/>
    </w:lvlOverride>
  </w:num>
  <w:num w:numId="14" w16cid:durableId="2084528140">
    <w:abstractNumId w:val="10"/>
    <w:lvlOverride w:ilvl="0">
      <w:startOverride w:val="1"/>
    </w:lvlOverride>
  </w:num>
  <w:num w:numId="15" w16cid:durableId="1867717219">
    <w:abstractNumId w:val="10"/>
  </w:num>
  <w:num w:numId="16" w16cid:durableId="276328837">
    <w:abstractNumId w:val="10"/>
  </w:num>
  <w:num w:numId="17" w16cid:durableId="1303199089">
    <w:abstractNumId w:val="8"/>
  </w:num>
  <w:num w:numId="18" w16cid:durableId="1675572567">
    <w:abstractNumId w:val="9"/>
  </w:num>
  <w:num w:numId="19" w16cid:durableId="140004218">
    <w:abstractNumId w:val="7"/>
  </w:num>
  <w:num w:numId="20" w16cid:durableId="62732278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610446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40427349">
    <w:abstractNumId w:val="2"/>
  </w:num>
  <w:num w:numId="23" w16cid:durableId="71052401">
    <w:abstractNumId w:val="6"/>
  </w:num>
  <w:num w:numId="24" w16cid:durableId="188956005">
    <w:abstractNumId w:val="5"/>
  </w:num>
  <w:num w:numId="25" w16cid:durableId="557866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15E"/>
    <w:rsid w:val="00002E57"/>
    <w:rsid w:val="00003440"/>
    <w:rsid w:val="000046B6"/>
    <w:rsid w:val="00010239"/>
    <w:rsid w:val="00012670"/>
    <w:rsid w:val="00016794"/>
    <w:rsid w:val="00017F0C"/>
    <w:rsid w:val="0002126F"/>
    <w:rsid w:val="00022484"/>
    <w:rsid w:val="00025759"/>
    <w:rsid w:val="00033838"/>
    <w:rsid w:val="000361DE"/>
    <w:rsid w:val="00044434"/>
    <w:rsid w:val="00046EBC"/>
    <w:rsid w:val="000636E2"/>
    <w:rsid w:val="00064BAB"/>
    <w:rsid w:val="0006711A"/>
    <w:rsid w:val="00074F1B"/>
    <w:rsid w:val="0008219D"/>
    <w:rsid w:val="000829F0"/>
    <w:rsid w:val="00084663"/>
    <w:rsid w:val="0008674F"/>
    <w:rsid w:val="000922CC"/>
    <w:rsid w:val="000957B3"/>
    <w:rsid w:val="00095FAA"/>
    <w:rsid w:val="000A194A"/>
    <w:rsid w:val="000A2049"/>
    <w:rsid w:val="000A348F"/>
    <w:rsid w:val="000A3A1E"/>
    <w:rsid w:val="000A4923"/>
    <w:rsid w:val="000A5817"/>
    <w:rsid w:val="000A7354"/>
    <w:rsid w:val="000A7475"/>
    <w:rsid w:val="000A7A03"/>
    <w:rsid w:val="000B2F04"/>
    <w:rsid w:val="000C539B"/>
    <w:rsid w:val="000D0F69"/>
    <w:rsid w:val="000D117B"/>
    <w:rsid w:val="000D259A"/>
    <w:rsid w:val="000D4777"/>
    <w:rsid w:val="000D6DCF"/>
    <w:rsid w:val="000E0A80"/>
    <w:rsid w:val="000E30E8"/>
    <w:rsid w:val="000E32E9"/>
    <w:rsid w:val="000E3CDC"/>
    <w:rsid w:val="000E4C9E"/>
    <w:rsid w:val="000E5178"/>
    <w:rsid w:val="000F0A1B"/>
    <w:rsid w:val="000F1905"/>
    <w:rsid w:val="000F421F"/>
    <w:rsid w:val="000F5430"/>
    <w:rsid w:val="00100F7E"/>
    <w:rsid w:val="00101E19"/>
    <w:rsid w:val="00103F94"/>
    <w:rsid w:val="00104FD5"/>
    <w:rsid w:val="001069AA"/>
    <w:rsid w:val="00106ED9"/>
    <w:rsid w:val="00107512"/>
    <w:rsid w:val="00107DBF"/>
    <w:rsid w:val="00112481"/>
    <w:rsid w:val="00122971"/>
    <w:rsid w:val="00124AFE"/>
    <w:rsid w:val="00126AB6"/>
    <w:rsid w:val="00132A99"/>
    <w:rsid w:val="00134BDF"/>
    <w:rsid w:val="00140CC7"/>
    <w:rsid w:val="0014185F"/>
    <w:rsid w:val="00145FE3"/>
    <w:rsid w:val="00146141"/>
    <w:rsid w:val="001523D0"/>
    <w:rsid w:val="0015440D"/>
    <w:rsid w:val="00156956"/>
    <w:rsid w:val="00160DCE"/>
    <w:rsid w:val="00162A9C"/>
    <w:rsid w:val="00163A28"/>
    <w:rsid w:val="00167CFB"/>
    <w:rsid w:val="001710A8"/>
    <w:rsid w:val="001812AB"/>
    <w:rsid w:val="001870B8"/>
    <w:rsid w:val="0018749E"/>
    <w:rsid w:val="00187833"/>
    <w:rsid w:val="0019185B"/>
    <w:rsid w:val="001960C4"/>
    <w:rsid w:val="001A2ED8"/>
    <w:rsid w:val="001A321B"/>
    <w:rsid w:val="001A6AF9"/>
    <w:rsid w:val="001C21F2"/>
    <w:rsid w:val="001D2137"/>
    <w:rsid w:val="001D2E43"/>
    <w:rsid w:val="001D75F4"/>
    <w:rsid w:val="001E2F65"/>
    <w:rsid w:val="001E4EFE"/>
    <w:rsid w:val="001E5601"/>
    <w:rsid w:val="001F1943"/>
    <w:rsid w:val="001F27C6"/>
    <w:rsid w:val="001F457F"/>
    <w:rsid w:val="001F76E7"/>
    <w:rsid w:val="001F7ADE"/>
    <w:rsid w:val="00201A32"/>
    <w:rsid w:val="00203C4C"/>
    <w:rsid w:val="00204E28"/>
    <w:rsid w:val="002104A7"/>
    <w:rsid w:val="00211EF4"/>
    <w:rsid w:val="0021225F"/>
    <w:rsid w:val="002126FB"/>
    <w:rsid w:val="0021519C"/>
    <w:rsid w:val="00215E7F"/>
    <w:rsid w:val="0021775C"/>
    <w:rsid w:val="00220145"/>
    <w:rsid w:val="00224E97"/>
    <w:rsid w:val="00225520"/>
    <w:rsid w:val="00231B5B"/>
    <w:rsid w:val="00231FF5"/>
    <w:rsid w:val="00237FA0"/>
    <w:rsid w:val="00242714"/>
    <w:rsid w:val="0024699C"/>
    <w:rsid w:val="002477AB"/>
    <w:rsid w:val="002500A5"/>
    <w:rsid w:val="00251935"/>
    <w:rsid w:val="00254C71"/>
    <w:rsid w:val="002558A0"/>
    <w:rsid w:val="00255B94"/>
    <w:rsid w:val="002573A0"/>
    <w:rsid w:val="0025798C"/>
    <w:rsid w:val="00262B27"/>
    <w:rsid w:val="00264837"/>
    <w:rsid w:val="00264B90"/>
    <w:rsid w:val="00264FB4"/>
    <w:rsid w:val="00265040"/>
    <w:rsid w:val="00265A4C"/>
    <w:rsid w:val="00265B96"/>
    <w:rsid w:val="002707E2"/>
    <w:rsid w:val="00270DA1"/>
    <w:rsid w:val="00272AC1"/>
    <w:rsid w:val="0027557B"/>
    <w:rsid w:val="00280E5C"/>
    <w:rsid w:val="002811E4"/>
    <w:rsid w:val="00285756"/>
    <w:rsid w:val="00287139"/>
    <w:rsid w:val="002873D8"/>
    <w:rsid w:val="0029118B"/>
    <w:rsid w:val="0029191E"/>
    <w:rsid w:val="002941E9"/>
    <w:rsid w:val="00295338"/>
    <w:rsid w:val="00296029"/>
    <w:rsid w:val="002A30D1"/>
    <w:rsid w:val="002A48C4"/>
    <w:rsid w:val="002A4B8D"/>
    <w:rsid w:val="002A60D5"/>
    <w:rsid w:val="002A6B25"/>
    <w:rsid w:val="002A6E2A"/>
    <w:rsid w:val="002A6E69"/>
    <w:rsid w:val="002B09E8"/>
    <w:rsid w:val="002B1190"/>
    <w:rsid w:val="002B3010"/>
    <w:rsid w:val="002B6002"/>
    <w:rsid w:val="002C0956"/>
    <w:rsid w:val="002C13C8"/>
    <w:rsid w:val="002D055C"/>
    <w:rsid w:val="002D1401"/>
    <w:rsid w:val="002D38A5"/>
    <w:rsid w:val="002D441D"/>
    <w:rsid w:val="002D5297"/>
    <w:rsid w:val="002D5972"/>
    <w:rsid w:val="002D5EE4"/>
    <w:rsid w:val="002D72DE"/>
    <w:rsid w:val="002D75D6"/>
    <w:rsid w:val="002D7668"/>
    <w:rsid w:val="002E24F9"/>
    <w:rsid w:val="002E279E"/>
    <w:rsid w:val="002E4642"/>
    <w:rsid w:val="002E79A4"/>
    <w:rsid w:val="002F0E08"/>
    <w:rsid w:val="002F1207"/>
    <w:rsid w:val="002F1670"/>
    <w:rsid w:val="002F17AB"/>
    <w:rsid w:val="002F216F"/>
    <w:rsid w:val="002F2253"/>
    <w:rsid w:val="002F3C76"/>
    <w:rsid w:val="002F46AB"/>
    <w:rsid w:val="00300CBF"/>
    <w:rsid w:val="00301312"/>
    <w:rsid w:val="00303547"/>
    <w:rsid w:val="00303742"/>
    <w:rsid w:val="00303C5D"/>
    <w:rsid w:val="00303E2D"/>
    <w:rsid w:val="003043E2"/>
    <w:rsid w:val="00306BE9"/>
    <w:rsid w:val="003071CC"/>
    <w:rsid w:val="003077BA"/>
    <w:rsid w:val="003151B0"/>
    <w:rsid w:val="00316A55"/>
    <w:rsid w:val="00317855"/>
    <w:rsid w:val="00320283"/>
    <w:rsid w:val="0032216C"/>
    <w:rsid w:val="00322CD2"/>
    <w:rsid w:val="00326587"/>
    <w:rsid w:val="00331F81"/>
    <w:rsid w:val="00334C44"/>
    <w:rsid w:val="00343A14"/>
    <w:rsid w:val="00344A3E"/>
    <w:rsid w:val="003452F4"/>
    <w:rsid w:val="003467E2"/>
    <w:rsid w:val="00346A6E"/>
    <w:rsid w:val="00346E41"/>
    <w:rsid w:val="003521EE"/>
    <w:rsid w:val="00352DC8"/>
    <w:rsid w:val="0035392A"/>
    <w:rsid w:val="0035494F"/>
    <w:rsid w:val="0036589E"/>
    <w:rsid w:val="00366C3B"/>
    <w:rsid w:val="00367C07"/>
    <w:rsid w:val="003707F1"/>
    <w:rsid w:val="00371542"/>
    <w:rsid w:val="00371E4E"/>
    <w:rsid w:val="00372ABF"/>
    <w:rsid w:val="00372ACC"/>
    <w:rsid w:val="00377220"/>
    <w:rsid w:val="00380303"/>
    <w:rsid w:val="00381EAE"/>
    <w:rsid w:val="003824A3"/>
    <w:rsid w:val="003836A0"/>
    <w:rsid w:val="0038506E"/>
    <w:rsid w:val="00385703"/>
    <w:rsid w:val="0038643A"/>
    <w:rsid w:val="0039007E"/>
    <w:rsid w:val="0039072F"/>
    <w:rsid w:val="00391DD5"/>
    <w:rsid w:val="00392704"/>
    <w:rsid w:val="003931BF"/>
    <w:rsid w:val="00395DC8"/>
    <w:rsid w:val="00396369"/>
    <w:rsid w:val="003A025F"/>
    <w:rsid w:val="003A029D"/>
    <w:rsid w:val="003A40F5"/>
    <w:rsid w:val="003A7425"/>
    <w:rsid w:val="003B0B33"/>
    <w:rsid w:val="003B2FBD"/>
    <w:rsid w:val="003B4839"/>
    <w:rsid w:val="003C0D1F"/>
    <w:rsid w:val="003C5FCA"/>
    <w:rsid w:val="003C632F"/>
    <w:rsid w:val="003E194D"/>
    <w:rsid w:val="003E1B01"/>
    <w:rsid w:val="003E502B"/>
    <w:rsid w:val="003E5096"/>
    <w:rsid w:val="003E5B89"/>
    <w:rsid w:val="003E7170"/>
    <w:rsid w:val="003F1D33"/>
    <w:rsid w:val="003F44AF"/>
    <w:rsid w:val="003F6421"/>
    <w:rsid w:val="00400B67"/>
    <w:rsid w:val="00400D8E"/>
    <w:rsid w:val="004072AF"/>
    <w:rsid w:val="00411D85"/>
    <w:rsid w:val="00413B2F"/>
    <w:rsid w:val="00417A46"/>
    <w:rsid w:val="00417B8D"/>
    <w:rsid w:val="004212B6"/>
    <w:rsid w:val="0042173F"/>
    <w:rsid w:val="00422257"/>
    <w:rsid w:val="00425689"/>
    <w:rsid w:val="004332CA"/>
    <w:rsid w:val="004359F7"/>
    <w:rsid w:val="00435F75"/>
    <w:rsid w:val="0044473E"/>
    <w:rsid w:val="00444C12"/>
    <w:rsid w:val="00446E9A"/>
    <w:rsid w:val="0047115E"/>
    <w:rsid w:val="0047731A"/>
    <w:rsid w:val="004779B5"/>
    <w:rsid w:val="00480412"/>
    <w:rsid w:val="00480DAC"/>
    <w:rsid w:val="004944C3"/>
    <w:rsid w:val="0049688B"/>
    <w:rsid w:val="00496C73"/>
    <w:rsid w:val="00497289"/>
    <w:rsid w:val="004A05EA"/>
    <w:rsid w:val="004A1012"/>
    <w:rsid w:val="004A3570"/>
    <w:rsid w:val="004A45E9"/>
    <w:rsid w:val="004B0D98"/>
    <w:rsid w:val="004B1272"/>
    <w:rsid w:val="004B1553"/>
    <w:rsid w:val="004B3779"/>
    <w:rsid w:val="004B4318"/>
    <w:rsid w:val="004B466A"/>
    <w:rsid w:val="004C0D96"/>
    <w:rsid w:val="004C1536"/>
    <w:rsid w:val="004C17EC"/>
    <w:rsid w:val="004C2647"/>
    <w:rsid w:val="004C5607"/>
    <w:rsid w:val="004C5699"/>
    <w:rsid w:val="004D16B1"/>
    <w:rsid w:val="004D1773"/>
    <w:rsid w:val="004D1C16"/>
    <w:rsid w:val="004D2DA3"/>
    <w:rsid w:val="004D3187"/>
    <w:rsid w:val="004E1E2D"/>
    <w:rsid w:val="004E2025"/>
    <w:rsid w:val="004E5050"/>
    <w:rsid w:val="004E51D2"/>
    <w:rsid w:val="004E538F"/>
    <w:rsid w:val="004E578F"/>
    <w:rsid w:val="004E5D82"/>
    <w:rsid w:val="004E7472"/>
    <w:rsid w:val="004F12AC"/>
    <w:rsid w:val="004F31B3"/>
    <w:rsid w:val="004F65AA"/>
    <w:rsid w:val="004F68AC"/>
    <w:rsid w:val="004F7FAB"/>
    <w:rsid w:val="00505FF7"/>
    <w:rsid w:val="00513CEA"/>
    <w:rsid w:val="00514108"/>
    <w:rsid w:val="00514663"/>
    <w:rsid w:val="005147A8"/>
    <w:rsid w:val="005173BD"/>
    <w:rsid w:val="00533416"/>
    <w:rsid w:val="00535985"/>
    <w:rsid w:val="005510FE"/>
    <w:rsid w:val="00552481"/>
    <w:rsid w:val="00553048"/>
    <w:rsid w:val="00556EB7"/>
    <w:rsid w:val="00557E11"/>
    <w:rsid w:val="005609C4"/>
    <w:rsid w:val="005616F0"/>
    <w:rsid w:val="00565641"/>
    <w:rsid w:val="00567AEC"/>
    <w:rsid w:val="00570B81"/>
    <w:rsid w:val="00570D29"/>
    <w:rsid w:val="00570F6B"/>
    <w:rsid w:val="00572B5B"/>
    <w:rsid w:val="00576A64"/>
    <w:rsid w:val="0058085B"/>
    <w:rsid w:val="00580A89"/>
    <w:rsid w:val="00582EAB"/>
    <w:rsid w:val="0058367F"/>
    <w:rsid w:val="00584E20"/>
    <w:rsid w:val="0058778E"/>
    <w:rsid w:val="00590812"/>
    <w:rsid w:val="0059412A"/>
    <w:rsid w:val="00595632"/>
    <w:rsid w:val="005A077D"/>
    <w:rsid w:val="005A1755"/>
    <w:rsid w:val="005B0127"/>
    <w:rsid w:val="005B2702"/>
    <w:rsid w:val="005B347D"/>
    <w:rsid w:val="005B74A9"/>
    <w:rsid w:val="005C093F"/>
    <w:rsid w:val="005C1975"/>
    <w:rsid w:val="005C1DFD"/>
    <w:rsid w:val="005C37AE"/>
    <w:rsid w:val="005C4E16"/>
    <w:rsid w:val="005C4F76"/>
    <w:rsid w:val="005C5B22"/>
    <w:rsid w:val="005C6EEF"/>
    <w:rsid w:val="005D04F7"/>
    <w:rsid w:val="005D411A"/>
    <w:rsid w:val="005D6516"/>
    <w:rsid w:val="005D66CB"/>
    <w:rsid w:val="005D6D0F"/>
    <w:rsid w:val="005E443A"/>
    <w:rsid w:val="005E52D1"/>
    <w:rsid w:val="005E6F7E"/>
    <w:rsid w:val="005F001D"/>
    <w:rsid w:val="005F1CBB"/>
    <w:rsid w:val="005F2A81"/>
    <w:rsid w:val="005F67CB"/>
    <w:rsid w:val="00600E54"/>
    <w:rsid w:val="006073A0"/>
    <w:rsid w:val="00607BCA"/>
    <w:rsid w:val="00612D05"/>
    <w:rsid w:val="0061382B"/>
    <w:rsid w:val="00617813"/>
    <w:rsid w:val="0062036B"/>
    <w:rsid w:val="006203BE"/>
    <w:rsid w:val="00620BD4"/>
    <w:rsid w:val="0062566A"/>
    <w:rsid w:val="00625FDC"/>
    <w:rsid w:val="00630182"/>
    <w:rsid w:val="006304C8"/>
    <w:rsid w:val="00631A49"/>
    <w:rsid w:val="00632733"/>
    <w:rsid w:val="00632EA8"/>
    <w:rsid w:val="0064141D"/>
    <w:rsid w:val="006414AD"/>
    <w:rsid w:val="00641DA8"/>
    <w:rsid w:val="0064253F"/>
    <w:rsid w:val="00643C3E"/>
    <w:rsid w:val="00646CBF"/>
    <w:rsid w:val="00646CF9"/>
    <w:rsid w:val="00662511"/>
    <w:rsid w:val="0066300D"/>
    <w:rsid w:val="006658CC"/>
    <w:rsid w:val="006719E3"/>
    <w:rsid w:val="00673CF5"/>
    <w:rsid w:val="0067436E"/>
    <w:rsid w:val="006749C6"/>
    <w:rsid w:val="006750E9"/>
    <w:rsid w:val="00676691"/>
    <w:rsid w:val="0067755C"/>
    <w:rsid w:val="0068217C"/>
    <w:rsid w:val="00682F4A"/>
    <w:rsid w:val="00687080"/>
    <w:rsid w:val="00693682"/>
    <w:rsid w:val="00694774"/>
    <w:rsid w:val="006972D8"/>
    <w:rsid w:val="006A3B0F"/>
    <w:rsid w:val="006A45DE"/>
    <w:rsid w:val="006A5051"/>
    <w:rsid w:val="006A6A7E"/>
    <w:rsid w:val="006A6C8A"/>
    <w:rsid w:val="006A76C5"/>
    <w:rsid w:val="006B1E55"/>
    <w:rsid w:val="006B2209"/>
    <w:rsid w:val="006B2BA4"/>
    <w:rsid w:val="006B5492"/>
    <w:rsid w:val="006B7C8D"/>
    <w:rsid w:val="006C0203"/>
    <w:rsid w:val="006C1217"/>
    <w:rsid w:val="006C4102"/>
    <w:rsid w:val="006C4254"/>
    <w:rsid w:val="006C52BF"/>
    <w:rsid w:val="006C55A9"/>
    <w:rsid w:val="006C5C05"/>
    <w:rsid w:val="006D1114"/>
    <w:rsid w:val="006D1899"/>
    <w:rsid w:val="006D4676"/>
    <w:rsid w:val="006D4F5D"/>
    <w:rsid w:val="006D52DA"/>
    <w:rsid w:val="006D5735"/>
    <w:rsid w:val="006E15A6"/>
    <w:rsid w:val="006E4FFC"/>
    <w:rsid w:val="006E62F2"/>
    <w:rsid w:val="006E7A7F"/>
    <w:rsid w:val="006F0478"/>
    <w:rsid w:val="006F0C59"/>
    <w:rsid w:val="006F7CBC"/>
    <w:rsid w:val="006F7D66"/>
    <w:rsid w:val="00703941"/>
    <w:rsid w:val="007047C3"/>
    <w:rsid w:val="00705EFC"/>
    <w:rsid w:val="00707AD6"/>
    <w:rsid w:val="0071275E"/>
    <w:rsid w:val="00715C79"/>
    <w:rsid w:val="0071605F"/>
    <w:rsid w:val="007203D6"/>
    <w:rsid w:val="007205EB"/>
    <w:rsid w:val="00722242"/>
    <w:rsid w:val="00726BAF"/>
    <w:rsid w:val="0073083E"/>
    <w:rsid w:val="00730A47"/>
    <w:rsid w:val="00740066"/>
    <w:rsid w:val="00741080"/>
    <w:rsid w:val="00741E65"/>
    <w:rsid w:val="00743E98"/>
    <w:rsid w:val="00745685"/>
    <w:rsid w:val="0075191C"/>
    <w:rsid w:val="007523F3"/>
    <w:rsid w:val="007525D3"/>
    <w:rsid w:val="00754576"/>
    <w:rsid w:val="007574A3"/>
    <w:rsid w:val="007605B7"/>
    <w:rsid w:val="00771BEA"/>
    <w:rsid w:val="0077338A"/>
    <w:rsid w:val="007733F3"/>
    <w:rsid w:val="0077402D"/>
    <w:rsid w:val="00775E12"/>
    <w:rsid w:val="00791E53"/>
    <w:rsid w:val="00793379"/>
    <w:rsid w:val="00793DCE"/>
    <w:rsid w:val="007A03CC"/>
    <w:rsid w:val="007A0E35"/>
    <w:rsid w:val="007A128A"/>
    <w:rsid w:val="007A5BBB"/>
    <w:rsid w:val="007A605F"/>
    <w:rsid w:val="007A6EBA"/>
    <w:rsid w:val="007B1E79"/>
    <w:rsid w:val="007B2B4B"/>
    <w:rsid w:val="007B3087"/>
    <w:rsid w:val="007B3D3B"/>
    <w:rsid w:val="007B5937"/>
    <w:rsid w:val="007B6ACE"/>
    <w:rsid w:val="007C1CF1"/>
    <w:rsid w:val="007C3BC6"/>
    <w:rsid w:val="007C64E0"/>
    <w:rsid w:val="007D10EF"/>
    <w:rsid w:val="007D435E"/>
    <w:rsid w:val="007D5EC3"/>
    <w:rsid w:val="007D6D00"/>
    <w:rsid w:val="007E04A8"/>
    <w:rsid w:val="007E0DC9"/>
    <w:rsid w:val="007F45A1"/>
    <w:rsid w:val="00800D2F"/>
    <w:rsid w:val="00802EE1"/>
    <w:rsid w:val="00805152"/>
    <w:rsid w:val="00805D8F"/>
    <w:rsid w:val="00806816"/>
    <w:rsid w:val="008108FC"/>
    <w:rsid w:val="008145ED"/>
    <w:rsid w:val="008214B3"/>
    <w:rsid w:val="00832263"/>
    <w:rsid w:val="0083659C"/>
    <w:rsid w:val="00837C03"/>
    <w:rsid w:val="008403E2"/>
    <w:rsid w:val="00841D3B"/>
    <w:rsid w:val="00846E87"/>
    <w:rsid w:val="0085156E"/>
    <w:rsid w:val="0085358E"/>
    <w:rsid w:val="00853621"/>
    <w:rsid w:val="00860E3C"/>
    <w:rsid w:val="008618E9"/>
    <w:rsid w:val="00863A43"/>
    <w:rsid w:val="00865D1F"/>
    <w:rsid w:val="00874304"/>
    <w:rsid w:val="00875635"/>
    <w:rsid w:val="00880824"/>
    <w:rsid w:val="00882652"/>
    <w:rsid w:val="008869BF"/>
    <w:rsid w:val="00892CD3"/>
    <w:rsid w:val="00896235"/>
    <w:rsid w:val="00896A06"/>
    <w:rsid w:val="008A183A"/>
    <w:rsid w:val="008A183B"/>
    <w:rsid w:val="008A2407"/>
    <w:rsid w:val="008A4FF8"/>
    <w:rsid w:val="008A523E"/>
    <w:rsid w:val="008A73B6"/>
    <w:rsid w:val="008B0678"/>
    <w:rsid w:val="008B2981"/>
    <w:rsid w:val="008B5CF1"/>
    <w:rsid w:val="008B60BB"/>
    <w:rsid w:val="008B79BB"/>
    <w:rsid w:val="008C0452"/>
    <w:rsid w:val="008C0730"/>
    <w:rsid w:val="008C0F17"/>
    <w:rsid w:val="008C3F6F"/>
    <w:rsid w:val="008C42BD"/>
    <w:rsid w:val="008C56A3"/>
    <w:rsid w:val="008C6CC7"/>
    <w:rsid w:val="008D36EE"/>
    <w:rsid w:val="008D38FD"/>
    <w:rsid w:val="008D5998"/>
    <w:rsid w:val="008D6F0E"/>
    <w:rsid w:val="008E0EB2"/>
    <w:rsid w:val="008E10E9"/>
    <w:rsid w:val="008E2025"/>
    <w:rsid w:val="008E248F"/>
    <w:rsid w:val="008E35E2"/>
    <w:rsid w:val="008E6BB5"/>
    <w:rsid w:val="008E7B26"/>
    <w:rsid w:val="008F07D8"/>
    <w:rsid w:val="008F1D15"/>
    <w:rsid w:val="008F1D3F"/>
    <w:rsid w:val="008F54F0"/>
    <w:rsid w:val="008F7856"/>
    <w:rsid w:val="00901239"/>
    <w:rsid w:val="009015F7"/>
    <w:rsid w:val="00904C1D"/>
    <w:rsid w:val="00906395"/>
    <w:rsid w:val="009113A4"/>
    <w:rsid w:val="00915100"/>
    <w:rsid w:val="00917722"/>
    <w:rsid w:val="0092055A"/>
    <w:rsid w:val="00922D55"/>
    <w:rsid w:val="00923FD1"/>
    <w:rsid w:val="00926C1E"/>
    <w:rsid w:val="00934705"/>
    <w:rsid w:val="00935CF6"/>
    <w:rsid w:val="00942ACC"/>
    <w:rsid w:val="0095233D"/>
    <w:rsid w:val="009525E0"/>
    <w:rsid w:val="009538DD"/>
    <w:rsid w:val="00953AFB"/>
    <w:rsid w:val="00954A76"/>
    <w:rsid w:val="00954D44"/>
    <w:rsid w:val="009609AE"/>
    <w:rsid w:val="00961CEB"/>
    <w:rsid w:val="009716CA"/>
    <w:rsid w:val="0097485B"/>
    <w:rsid w:val="0097713B"/>
    <w:rsid w:val="00977A31"/>
    <w:rsid w:val="009806A3"/>
    <w:rsid w:val="009817A4"/>
    <w:rsid w:val="009827B7"/>
    <w:rsid w:val="009831A9"/>
    <w:rsid w:val="00984062"/>
    <w:rsid w:val="00986A62"/>
    <w:rsid w:val="00987007"/>
    <w:rsid w:val="00991CF3"/>
    <w:rsid w:val="00993928"/>
    <w:rsid w:val="00994822"/>
    <w:rsid w:val="009949CF"/>
    <w:rsid w:val="00997537"/>
    <w:rsid w:val="009B6097"/>
    <w:rsid w:val="009C0068"/>
    <w:rsid w:val="009C08E6"/>
    <w:rsid w:val="009C1EA3"/>
    <w:rsid w:val="009C35A4"/>
    <w:rsid w:val="009C3BA1"/>
    <w:rsid w:val="009C402E"/>
    <w:rsid w:val="009C4060"/>
    <w:rsid w:val="009C443C"/>
    <w:rsid w:val="009C4BAC"/>
    <w:rsid w:val="009C5DC5"/>
    <w:rsid w:val="009C6D7A"/>
    <w:rsid w:val="009D2110"/>
    <w:rsid w:val="009D58EC"/>
    <w:rsid w:val="009D6BEE"/>
    <w:rsid w:val="009D7B8F"/>
    <w:rsid w:val="009E2231"/>
    <w:rsid w:val="009E2408"/>
    <w:rsid w:val="009E32C3"/>
    <w:rsid w:val="009E345D"/>
    <w:rsid w:val="009E56D6"/>
    <w:rsid w:val="009E6291"/>
    <w:rsid w:val="009F072C"/>
    <w:rsid w:val="009F4120"/>
    <w:rsid w:val="009F5439"/>
    <w:rsid w:val="009F69C6"/>
    <w:rsid w:val="00A00117"/>
    <w:rsid w:val="00A004B8"/>
    <w:rsid w:val="00A030F6"/>
    <w:rsid w:val="00A04594"/>
    <w:rsid w:val="00A047B0"/>
    <w:rsid w:val="00A05873"/>
    <w:rsid w:val="00A05F0A"/>
    <w:rsid w:val="00A110CC"/>
    <w:rsid w:val="00A14E5E"/>
    <w:rsid w:val="00A151FE"/>
    <w:rsid w:val="00A205AE"/>
    <w:rsid w:val="00A23415"/>
    <w:rsid w:val="00A234CC"/>
    <w:rsid w:val="00A2489E"/>
    <w:rsid w:val="00A24FAA"/>
    <w:rsid w:val="00A2508D"/>
    <w:rsid w:val="00A26C19"/>
    <w:rsid w:val="00A35855"/>
    <w:rsid w:val="00A3614C"/>
    <w:rsid w:val="00A37886"/>
    <w:rsid w:val="00A42E81"/>
    <w:rsid w:val="00A4396D"/>
    <w:rsid w:val="00A458FC"/>
    <w:rsid w:val="00A45F01"/>
    <w:rsid w:val="00A5077F"/>
    <w:rsid w:val="00A50E66"/>
    <w:rsid w:val="00A530F2"/>
    <w:rsid w:val="00A54CBE"/>
    <w:rsid w:val="00A5546B"/>
    <w:rsid w:val="00A573FF"/>
    <w:rsid w:val="00A57778"/>
    <w:rsid w:val="00A57A9A"/>
    <w:rsid w:val="00A60F40"/>
    <w:rsid w:val="00A61CA4"/>
    <w:rsid w:val="00A63501"/>
    <w:rsid w:val="00A6391B"/>
    <w:rsid w:val="00A6465D"/>
    <w:rsid w:val="00A64A8A"/>
    <w:rsid w:val="00A67E84"/>
    <w:rsid w:val="00A74190"/>
    <w:rsid w:val="00A75608"/>
    <w:rsid w:val="00A7745F"/>
    <w:rsid w:val="00A80782"/>
    <w:rsid w:val="00A82395"/>
    <w:rsid w:val="00A82AA6"/>
    <w:rsid w:val="00A85494"/>
    <w:rsid w:val="00A918C4"/>
    <w:rsid w:val="00A9402F"/>
    <w:rsid w:val="00A9487B"/>
    <w:rsid w:val="00A964FC"/>
    <w:rsid w:val="00A96BD8"/>
    <w:rsid w:val="00AA0D1A"/>
    <w:rsid w:val="00AA135A"/>
    <w:rsid w:val="00AA16C4"/>
    <w:rsid w:val="00AA4FEF"/>
    <w:rsid w:val="00AA5379"/>
    <w:rsid w:val="00AA7B90"/>
    <w:rsid w:val="00AB07C6"/>
    <w:rsid w:val="00AB34A9"/>
    <w:rsid w:val="00AB4D15"/>
    <w:rsid w:val="00AB4D72"/>
    <w:rsid w:val="00AB6F98"/>
    <w:rsid w:val="00AC13A6"/>
    <w:rsid w:val="00AC56CF"/>
    <w:rsid w:val="00AC5892"/>
    <w:rsid w:val="00AC7D36"/>
    <w:rsid w:val="00AD03D2"/>
    <w:rsid w:val="00AD1CA8"/>
    <w:rsid w:val="00AD2D1A"/>
    <w:rsid w:val="00AD3105"/>
    <w:rsid w:val="00AD4DB8"/>
    <w:rsid w:val="00AD523D"/>
    <w:rsid w:val="00AD6265"/>
    <w:rsid w:val="00AD62AB"/>
    <w:rsid w:val="00AD6AF6"/>
    <w:rsid w:val="00AE1628"/>
    <w:rsid w:val="00AE2826"/>
    <w:rsid w:val="00AE4259"/>
    <w:rsid w:val="00AE7137"/>
    <w:rsid w:val="00AF335F"/>
    <w:rsid w:val="00AF5F7A"/>
    <w:rsid w:val="00B006F6"/>
    <w:rsid w:val="00B022B6"/>
    <w:rsid w:val="00B0299E"/>
    <w:rsid w:val="00B12305"/>
    <w:rsid w:val="00B1288B"/>
    <w:rsid w:val="00B13CD1"/>
    <w:rsid w:val="00B221DD"/>
    <w:rsid w:val="00B237F1"/>
    <w:rsid w:val="00B242DD"/>
    <w:rsid w:val="00B24CED"/>
    <w:rsid w:val="00B264D6"/>
    <w:rsid w:val="00B26959"/>
    <w:rsid w:val="00B310E3"/>
    <w:rsid w:val="00B33815"/>
    <w:rsid w:val="00B3395C"/>
    <w:rsid w:val="00B3769B"/>
    <w:rsid w:val="00B417D4"/>
    <w:rsid w:val="00B4473F"/>
    <w:rsid w:val="00B460C5"/>
    <w:rsid w:val="00B521BB"/>
    <w:rsid w:val="00B54E88"/>
    <w:rsid w:val="00B62397"/>
    <w:rsid w:val="00B63BE9"/>
    <w:rsid w:val="00B6512E"/>
    <w:rsid w:val="00B6584E"/>
    <w:rsid w:val="00B65967"/>
    <w:rsid w:val="00B66B59"/>
    <w:rsid w:val="00B67583"/>
    <w:rsid w:val="00B716D4"/>
    <w:rsid w:val="00B7287A"/>
    <w:rsid w:val="00B76D38"/>
    <w:rsid w:val="00B770D8"/>
    <w:rsid w:val="00B807B9"/>
    <w:rsid w:val="00B81B52"/>
    <w:rsid w:val="00B82F90"/>
    <w:rsid w:val="00B9171F"/>
    <w:rsid w:val="00B92EF3"/>
    <w:rsid w:val="00B94108"/>
    <w:rsid w:val="00B95668"/>
    <w:rsid w:val="00B9593E"/>
    <w:rsid w:val="00B97462"/>
    <w:rsid w:val="00BA00CE"/>
    <w:rsid w:val="00BB1873"/>
    <w:rsid w:val="00BB2995"/>
    <w:rsid w:val="00BC1B05"/>
    <w:rsid w:val="00BC5A52"/>
    <w:rsid w:val="00BC620E"/>
    <w:rsid w:val="00BD0183"/>
    <w:rsid w:val="00BD1EF6"/>
    <w:rsid w:val="00BD3EB7"/>
    <w:rsid w:val="00BD69CC"/>
    <w:rsid w:val="00BE000B"/>
    <w:rsid w:val="00BE150B"/>
    <w:rsid w:val="00BE7E49"/>
    <w:rsid w:val="00BF0EBD"/>
    <w:rsid w:val="00BF2895"/>
    <w:rsid w:val="00BF3C70"/>
    <w:rsid w:val="00BF4E25"/>
    <w:rsid w:val="00BF6AAA"/>
    <w:rsid w:val="00BF6BD4"/>
    <w:rsid w:val="00BF6C29"/>
    <w:rsid w:val="00BF70A1"/>
    <w:rsid w:val="00C005AD"/>
    <w:rsid w:val="00C04982"/>
    <w:rsid w:val="00C04A14"/>
    <w:rsid w:val="00C078D2"/>
    <w:rsid w:val="00C11E5C"/>
    <w:rsid w:val="00C158CB"/>
    <w:rsid w:val="00C1734E"/>
    <w:rsid w:val="00C17DBF"/>
    <w:rsid w:val="00C21EA0"/>
    <w:rsid w:val="00C26FC9"/>
    <w:rsid w:val="00C30709"/>
    <w:rsid w:val="00C33408"/>
    <w:rsid w:val="00C33A21"/>
    <w:rsid w:val="00C4067A"/>
    <w:rsid w:val="00C44F1E"/>
    <w:rsid w:val="00C514DD"/>
    <w:rsid w:val="00C51DC2"/>
    <w:rsid w:val="00C52616"/>
    <w:rsid w:val="00C53C2E"/>
    <w:rsid w:val="00C576DB"/>
    <w:rsid w:val="00C60963"/>
    <w:rsid w:val="00C613B6"/>
    <w:rsid w:val="00C64577"/>
    <w:rsid w:val="00C6632E"/>
    <w:rsid w:val="00C75508"/>
    <w:rsid w:val="00C755EE"/>
    <w:rsid w:val="00C81559"/>
    <w:rsid w:val="00C94CAA"/>
    <w:rsid w:val="00CA10E2"/>
    <w:rsid w:val="00CA16B7"/>
    <w:rsid w:val="00CA2152"/>
    <w:rsid w:val="00CA33C5"/>
    <w:rsid w:val="00CA372A"/>
    <w:rsid w:val="00CA4AE3"/>
    <w:rsid w:val="00CA62EE"/>
    <w:rsid w:val="00CB3354"/>
    <w:rsid w:val="00CB6A37"/>
    <w:rsid w:val="00CD4A5A"/>
    <w:rsid w:val="00CD5C32"/>
    <w:rsid w:val="00CD601A"/>
    <w:rsid w:val="00CE01E9"/>
    <w:rsid w:val="00CE2ACB"/>
    <w:rsid w:val="00CE3CE7"/>
    <w:rsid w:val="00CE4669"/>
    <w:rsid w:val="00CF2091"/>
    <w:rsid w:val="00CF20B5"/>
    <w:rsid w:val="00CF2134"/>
    <w:rsid w:val="00CF2D0A"/>
    <w:rsid w:val="00CF4A5E"/>
    <w:rsid w:val="00CF7DEA"/>
    <w:rsid w:val="00D04452"/>
    <w:rsid w:val="00D06F2F"/>
    <w:rsid w:val="00D1095D"/>
    <w:rsid w:val="00D113B9"/>
    <w:rsid w:val="00D12B8B"/>
    <w:rsid w:val="00D12E3A"/>
    <w:rsid w:val="00D22505"/>
    <w:rsid w:val="00D24DDA"/>
    <w:rsid w:val="00D2583B"/>
    <w:rsid w:val="00D440BA"/>
    <w:rsid w:val="00D45608"/>
    <w:rsid w:val="00D45663"/>
    <w:rsid w:val="00D5132B"/>
    <w:rsid w:val="00D60E4E"/>
    <w:rsid w:val="00D705D9"/>
    <w:rsid w:val="00D70946"/>
    <w:rsid w:val="00D7161E"/>
    <w:rsid w:val="00D73677"/>
    <w:rsid w:val="00D73E8F"/>
    <w:rsid w:val="00D74199"/>
    <w:rsid w:val="00D75968"/>
    <w:rsid w:val="00D76AF0"/>
    <w:rsid w:val="00D778F5"/>
    <w:rsid w:val="00D81839"/>
    <w:rsid w:val="00D83659"/>
    <w:rsid w:val="00D8479F"/>
    <w:rsid w:val="00D855A5"/>
    <w:rsid w:val="00D8666B"/>
    <w:rsid w:val="00D87980"/>
    <w:rsid w:val="00D9310A"/>
    <w:rsid w:val="00D9405B"/>
    <w:rsid w:val="00D94476"/>
    <w:rsid w:val="00D95316"/>
    <w:rsid w:val="00D9576A"/>
    <w:rsid w:val="00D96433"/>
    <w:rsid w:val="00DA4B19"/>
    <w:rsid w:val="00DA4FD6"/>
    <w:rsid w:val="00DA7B6B"/>
    <w:rsid w:val="00DB3EFE"/>
    <w:rsid w:val="00DB5481"/>
    <w:rsid w:val="00DC02BE"/>
    <w:rsid w:val="00DC4835"/>
    <w:rsid w:val="00DC6DFA"/>
    <w:rsid w:val="00DD382E"/>
    <w:rsid w:val="00DD3D54"/>
    <w:rsid w:val="00DD7288"/>
    <w:rsid w:val="00DE04F8"/>
    <w:rsid w:val="00DE124F"/>
    <w:rsid w:val="00DE6BB3"/>
    <w:rsid w:val="00DF0E59"/>
    <w:rsid w:val="00DF50D1"/>
    <w:rsid w:val="00DF7692"/>
    <w:rsid w:val="00E011ED"/>
    <w:rsid w:val="00E02B30"/>
    <w:rsid w:val="00E03383"/>
    <w:rsid w:val="00E04DFC"/>
    <w:rsid w:val="00E04F7A"/>
    <w:rsid w:val="00E0545C"/>
    <w:rsid w:val="00E076B6"/>
    <w:rsid w:val="00E10799"/>
    <w:rsid w:val="00E11217"/>
    <w:rsid w:val="00E12AE1"/>
    <w:rsid w:val="00E150C9"/>
    <w:rsid w:val="00E15DBF"/>
    <w:rsid w:val="00E20276"/>
    <w:rsid w:val="00E211E6"/>
    <w:rsid w:val="00E245F6"/>
    <w:rsid w:val="00E26646"/>
    <w:rsid w:val="00E278FF"/>
    <w:rsid w:val="00E36B80"/>
    <w:rsid w:val="00E36DC1"/>
    <w:rsid w:val="00E41B22"/>
    <w:rsid w:val="00E4330C"/>
    <w:rsid w:val="00E44A13"/>
    <w:rsid w:val="00E45233"/>
    <w:rsid w:val="00E462A7"/>
    <w:rsid w:val="00E546FE"/>
    <w:rsid w:val="00E60DA1"/>
    <w:rsid w:val="00E629E5"/>
    <w:rsid w:val="00E62B4B"/>
    <w:rsid w:val="00E776D0"/>
    <w:rsid w:val="00E809AA"/>
    <w:rsid w:val="00E92903"/>
    <w:rsid w:val="00E94745"/>
    <w:rsid w:val="00E94D9B"/>
    <w:rsid w:val="00E96E32"/>
    <w:rsid w:val="00E970FF"/>
    <w:rsid w:val="00EA321D"/>
    <w:rsid w:val="00EA3FCD"/>
    <w:rsid w:val="00EA528F"/>
    <w:rsid w:val="00EA76C7"/>
    <w:rsid w:val="00EA79AF"/>
    <w:rsid w:val="00EA7FF7"/>
    <w:rsid w:val="00EB45BA"/>
    <w:rsid w:val="00EB5E04"/>
    <w:rsid w:val="00EB6473"/>
    <w:rsid w:val="00EC086B"/>
    <w:rsid w:val="00EC16F8"/>
    <w:rsid w:val="00EC1EF8"/>
    <w:rsid w:val="00EC35CB"/>
    <w:rsid w:val="00EC5D96"/>
    <w:rsid w:val="00ED00B9"/>
    <w:rsid w:val="00ED04E2"/>
    <w:rsid w:val="00ED3563"/>
    <w:rsid w:val="00ED4039"/>
    <w:rsid w:val="00ED5C89"/>
    <w:rsid w:val="00EE12DD"/>
    <w:rsid w:val="00EE1AC4"/>
    <w:rsid w:val="00EE2348"/>
    <w:rsid w:val="00EE237C"/>
    <w:rsid w:val="00EE29B3"/>
    <w:rsid w:val="00EE3D5E"/>
    <w:rsid w:val="00EF1E34"/>
    <w:rsid w:val="00EF2A63"/>
    <w:rsid w:val="00EF2AF2"/>
    <w:rsid w:val="00EF3174"/>
    <w:rsid w:val="00EF5411"/>
    <w:rsid w:val="00EF633A"/>
    <w:rsid w:val="00EF6389"/>
    <w:rsid w:val="00F00A4D"/>
    <w:rsid w:val="00F02012"/>
    <w:rsid w:val="00F0413F"/>
    <w:rsid w:val="00F04A56"/>
    <w:rsid w:val="00F04D54"/>
    <w:rsid w:val="00F07B4F"/>
    <w:rsid w:val="00F14F1B"/>
    <w:rsid w:val="00F1690B"/>
    <w:rsid w:val="00F21EF0"/>
    <w:rsid w:val="00F234EF"/>
    <w:rsid w:val="00F3021B"/>
    <w:rsid w:val="00F3042A"/>
    <w:rsid w:val="00F30D15"/>
    <w:rsid w:val="00F314EA"/>
    <w:rsid w:val="00F35F81"/>
    <w:rsid w:val="00F3724A"/>
    <w:rsid w:val="00F37B7A"/>
    <w:rsid w:val="00F42044"/>
    <w:rsid w:val="00F42C6D"/>
    <w:rsid w:val="00F4704F"/>
    <w:rsid w:val="00F47152"/>
    <w:rsid w:val="00F53822"/>
    <w:rsid w:val="00F5672F"/>
    <w:rsid w:val="00F60ECA"/>
    <w:rsid w:val="00F66A04"/>
    <w:rsid w:val="00F670D1"/>
    <w:rsid w:val="00F75FE0"/>
    <w:rsid w:val="00F7633D"/>
    <w:rsid w:val="00F8079C"/>
    <w:rsid w:val="00F8248D"/>
    <w:rsid w:val="00F82B91"/>
    <w:rsid w:val="00F85C43"/>
    <w:rsid w:val="00F909E9"/>
    <w:rsid w:val="00F944CF"/>
    <w:rsid w:val="00F95398"/>
    <w:rsid w:val="00F95581"/>
    <w:rsid w:val="00F9609A"/>
    <w:rsid w:val="00F96A3D"/>
    <w:rsid w:val="00F971E8"/>
    <w:rsid w:val="00F97281"/>
    <w:rsid w:val="00FA1C75"/>
    <w:rsid w:val="00FA47AE"/>
    <w:rsid w:val="00FA58D7"/>
    <w:rsid w:val="00FA5A96"/>
    <w:rsid w:val="00FA70A2"/>
    <w:rsid w:val="00FB18F0"/>
    <w:rsid w:val="00FB3D63"/>
    <w:rsid w:val="00FB799A"/>
    <w:rsid w:val="00FC2CAE"/>
    <w:rsid w:val="00FC3E7A"/>
    <w:rsid w:val="00FC599C"/>
    <w:rsid w:val="00FD20FE"/>
    <w:rsid w:val="00FD24AC"/>
    <w:rsid w:val="00FD3AE4"/>
    <w:rsid w:val="00FE1A89"/>
    <w:rsid w:val="00FE44FA"/>
    <w:rsid w:val="00FF1189"/>
    <w:rsid w:val="00FF18E8"/>
    <w:rsid w:val="00FF1A05"/>
    <w:rsid w:val="00FF2469"/>
    <w:rsid w:val="00FF2CA3"/>
    <w:rsid w:val="00FF3017"/>
    <w:rsid w:val="00FF4B98"/>
    <w:rsid w:val="00FF4CF8"/>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0EFAD0"/>
  <w14:defaultImageDpi w14:val="32767"/>
  <w15:chartTrackingRefBased/>
  <w15:docId w15:val="{40A245B3-600F-4E3B-89F2-16F0F65F5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9B6097"/>
    <w:pPr>
      <w:jc w:val="both"/>
    </w:pPr>
    <w:rPr>
      <w:rFonts w:ascii="Cambria" w:hAnsi="Cambria"/>
      <w:lang w:val="en-US" w:eastAsia="en-US"/>
    </w:rPr>
  </w:style>
  <w:style w:type="paragraph" w:styleId="Heading1">
    <w:name w:val="heading 1"/>
    <w:basedOn w:val="Normal"/>
    <w:next w:val="Normal"/>
    <w:link w:val="Heading1Char"/>
    <w:uiPriority w:val="9"/>
    <w:qFormat/>
    <w:rsid w:val="00FA5A96"/>
    <w:pPr>
      <w:keepNext/>
      <w:numPr>
        <w:numId w:val="8"/>
      </w:numPr>
      <w:spacing w:after="240"/>
      <w:jc w:val="left"/>
      <w:outlineLvl w:val="0"/>
    </w:pPr>
    <w:rPr>
      <w:b/>
      <w:bCs/>
      <w:caps/>
      <w:lang w:val="x-none" w:eastAsia="x-none"/>
    </w:rPr>
  </w:style>
  <w:style w:type="paragraph" w:styleId="Heading2">
    <w:name w:val="heading 2"/>
    <w:basedOn w:val="Normal"/>
    <w:next w:val="Normal"/>
    <w:link w:val="Heading2Char"/>
    <w:uiPriority w:val="9"/>
    <w:qFormat/>
    <w:rsid w:val="00FA5A96"/>
    <w:pPr>
      <w:numPr>
        <w:ilvl w:val="1"/>
        <w:numId w:val="8"/>
      </w:numPr>
      <w:spacing w:after="240"/>
      <w:jc w:val="left"/>
      <w:outlineLvl w:val="1"/>
    </w:pPr>
    <w:rPr>
      <w:b/>
      <w:bCs/>
      <w:lang w:val="x-none" w:eastAsia="x-none"/>
    </w:rPr>
  </w:style>
  <w:style w:type="paragraph" w:styleId="Heading3">
    <w:name w:val="heading 3"/>
    <w:basedOn w:val="Normal"/>
    <w:next w:val="Normal"/>
    <w:link w:val="Heading3Char"/>
    <w:uiPriority w:val="9"/>
    <w:unhideWhenUsed/>
    <w:qFormat/>
    <w:rsid w:val="001A321B"/>
    <w:pPr>
      <w:keepNext/>
      <w:keepLines/>
      <w:numPr>
        <w:ilvl w:val="2"/>
        <w:numId w:val="8"/>
      </w:numPr>
      <w:spacing w:after="240"/>
      <w:outlineLvl w:val="2"/>
    </w:pPr>
    <w:rPr>
      <w:rFonts w:eastAsiaTheme="majorEastAsia" w:cstheme="majorBidi"/>
      <w:b/>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JNEAMTitle">
    <w:name w:val="IJNEAM_Title"/>
    <w:basedOn w:val="Normal"/>
    <w:qFormat/>
    <w:rsid w:val="009B6097"/>
    <w:pPr>
      <w:spacing w:after="240"/>
    </w:pPr>
    <w:rPr>
      <w:b/>
      <w:bCs/>
      <w:sz w:val="28"/>
    </w:rPr>
  </w:style>
  <w:style w:type="paragraph" w:customStyle="1" w:styleId="IJNEAMAuthorNames">
    <w:name w:val="IJNEAM_AuthorNames"/>
    <w:basedOn w:val="Normal"/>
    <w:qFormat/>
    <w:rsid w:val="009B6097"/>
    <w:pPr>
      <w:spacing w:after="240"/>
    </w:pPr>
    <w:rPr>
      <w:sz w:val="18"/>
      <w:szCs w:val="18"/>
    </w:rPr>
  </w:style>
  <w:style w:type="paragraph" w:customStyle="1" w:styleId="IJNEAMAffiliations">
    <w:name w:val="IJNEAM_Affiliations"/>
    <w:basedOn w:val="Normal"/>
    <w:qFormat/>
    <w:rsid w:val="009B6097"/>
    <w:pPr>
      <w:spacing w:after="480"/>
      <w:jc w:val="left"/>
    </w:pPr>
    <w:rPr>
      <w:i/>
      <w:sz w:val="18"/>
      <w:szCs w:val="18"/>
    </w:rPr>
  </w:style>
  <w:style w:type="paragraph" w:customStyle="1" w:styleId="IJNEAMAbstractTitle">
    <w:name w:val="IJNEAM_AbstractTitle"/>
    <w:basedOn w:val="Normal"/>
    <w:qFormat/>
    <w:rsid w:val="009B6097"/>
    <w:pPr>
      <w:spacing w:after="240"/>
      <w:ind w:right="284"/>
      <w:jc w:val="center"/>
    </w:pPr>
    <w:rPr>
      <w:b/>
      <w:bCs/>
      <w:sz w:val="18"/>
      <w:szCs w:val="18"/>
      <w:lang w:val="en-GB"/>
    </w:rPr>
  </w:style>
  <w:style w:type="paragraph" w:customStyle="1" w:styleId="IJNEAMAbstracText">
    <w:name w:val="IJNEAM_AbstracText"/>
    <w:basedOn w:val="Normal"/>
    <w:qFormat/>
    <w:rsid w:val="009B6097"/>
    <w:pPr>
      <w:spacing w:after="240"/>
      <w:ind w:right="284"/>
    </w:pPr>
    <w:rPr>
      <w:sz w:val="18"/>
      <w:szCs w:val="18"/>
    </w:rPr>
  </w:style>
  <w:style w:type="paragraph" w:customStyle="1" w:styleId="IJNEAMKeyword">
    <w:name w:val="IJNEAM_Keyword"/>
    <w:basedOn w:val="Normal"/>
    <w:qFormat/>
    <w:rsid w:val="00FA5A96"/>
    <w:pPr>
      <w:spacing w:after="240"/>
      <w:ind w:right="284"/>
    </w:pPr>
    <w:rPr>
      <w:i/>
      <w:sz w:val="18"/>
      <w:szCs w:val="18"/>
    </w:rPr>
  </w:style>
  <w:style w:type="paragraph" w:customStyle="1" w:styleId="IJNEAMParagraph">
    <w:name w:val="IJNEAM_Paragraph"/>
    <w:basedOn w:val="Normal"/>
    <w:qFormat/>
    <w:rsid w:val="00FA5A96"/>
    <w:pPr>
      <w:spacing w:after="240"/>
    </w:pPr>
  </w:style>
  <w:style w:type="character" w:customStyle="1" w:styleId="Heading1Char">
    <w:name w:val="Heading 1 Char"/>
    <w:link w:val="Heading1"/>
    <w:uiPriority w:val="9"/>
    <w:rsid w:val="00FA5A96"/>
    <w:rPr>
      <w:rFonts w:ascii="Cambria" w:hAnsi="Cambria"/>
      <w:b/>
      <w:bCs/>
      <w:caps/>
      <w:lang w:val="x-none" w:eastAsia="x-none"/>
    </w:rPr>
  </w:style>
  <w:style w:type="character" w:customStyle="1" w:styleId="Heading2Char">
    <w:name w:val="Heading 2 Char"/>
    <w:link w:val="Heading2"/>
    <w:uiPriority w:val="9"/>
    <w:rsid w:val="00FA5A96"/>
    <w:rPr>
      <w:rFonts w:ascii="Cambria" w:hAnsi="Cambria"/>
      <w:b/>
      <w:bCs/>
      <w:lang w:val="x-none" w:eastAsia="x-none"/>
    </w:rPr>
  </w:style>
  <w:style w:type="paragraph" w:customStyle="1" w:styleId="IJNEAMConRefAck">
    <w:name w:val="IJNEAM_Con/Ref/Ack"/>
    <w:basedOn w:val="Heading1"/>
    <w:qFormat/>
    <w:rsid w:val="00EA528F"/>
    <w:pPr>
      <w:numPr>
        <w:numId w:val="0"/>
      </w:numPr>
    </w:pPr>
  </w:style>
  <w:style w:type="paragraph" w:customStyle="1" w:styleId="IJNEAMListofRefrences">
    <w:name w:val="IJNEAM_List of Refrences"/>
    <w:basedOn w:val="Normal"/>
    <w:qFormat/>
    <w:rsid w:val="00EA528F"/>
    <w:pPr>
      <w:numPr>
        <w:numId w:val="19"/>
      </w:numPr>
      <w:ind w:left="539" w:hanging="539"/>
    </w:pPr>
  </w:style>
  <w:style w:type="paragraph" w:customStyle="1" w:styleId="IJNEAMEquation">
    <w:name w:val="IJNEAM_Equation"/>
    <w:basedOn w:val="Normal"/>
    <w:qFormat/>
    <w:rsid w:val="001A321B"/>
    <w:pPr>
      <w:tabs>
        <w:tab w:val="right" w:pos="5670"/>
      </w:tabs>
      <w:spacing w:after="240"/>
    </w:pPr>
  </w:style>
  <w:style w:type="paragraph" w:customStyle="1" w:styleId="IJNEAMTableCaption">
    <w:name w:val="IJNEAM_Table Caption"/>
    <w:basedOn w:val="Normal"/>
    <w:qFormat/>
    <w:rsid w:val="009C4BAC"/>
    <w:pPr>
      <w:jc w:val="center"/>
    </w:pPr>
    <w:rPr>
      <w:sz w:val="18"/>
      <w:szCs w:val="18"/>
    </w:rPr>
  </w:style>
  <w:style w:type="paragraph" w:styleId="Caption">
    <w:name w:val="caption"/>
    <w:basedOn w:val="Normal"/>
    <w:next w:val="Normal"/>
    <w:uiPriority w:val="35"/>
    <w:unhideWhenUsed/>
    <w:qFormat/>
    <w:rsid w:val="009C4BAC"/>
    <w:pPr>
      <w:spacing w:after="200"/>
    </w:pPr>
    <w:rPr>
      <w:i/>
      <w:iCs/>
      <w:color w:val="0E2841" w:themeColor="text2"/>
      <w:sz w:val="18"/>
      <w:szCs w:val="18"/>
    </w:rPr>
  </w:style>
  <w:style w:type="paragraph" w:customStyle="1" w:styleId="IJNEAMFigureCaption">
    <w:name w:val="IJNEAM_Figure Caption"/>
    <w:basedOn w:val="Caption"/>
    <w:qFormat/>
    <w:rsid w:val="009C4BAC"/>
    <w:pPr>
      <w:jc w:val="center"/>
    </w:pPr>
    <w:rPr>
      <w:i w:val="0"/>
      <w:color w:val="auto"/>
    </w:rPr>
  </w:style>
  <w:style w:type="paragraph" w:customStyle="1" w:styleId="ElsReferences">
    <w:name w:val="Els_References"/>
    <w:rsid w:val="006C55A9"/>
    <w:pPr>
      <w:tabs>
        <w:tab w:val="num" w:pos="720"/>
      </w:tabs>
      <w:ind w:left="720" w:hanging="360"/>
    </w:pPr>
    <w:rPr>
      <w:sz w:val="16"/>
      <w:lang w:val="en-US" w:eastAsia="en-US"/>
    </w:rPr>
  </w:style>
  <w:style w:type="paragraph" w:customStyle="1" w:styleId="References">
    <w:name w:val="References"/>
    <w:basedOn w:val="ElsReferences"/>
    <w:qFormat/>
    <w:rsid w:val="006C55A9"/>
  </w:style>
  <w:style w:type="paragraph" w:styleId="Footer">
    <w:name w:val="footer"/>
    <w:basedOn w:val="Normal"/>
    <w:link w:val="FooterChar"/>
    <w:uiPriority w:val="99"/>
    <w:unhideWhenUsed/>
    <w:rsid w:val="001A321B"/>
    <w:pPr>
      <w:tabs>
        <w:tab w:val="center" w:pos="4513"/>
        <w:tab w:val="right" w:pos="9026"/>
      </w:tabs>
    </w:pPr>
  </w:style>
  <w:style w:type="character" w:customStyle="1" w:styleId="FooterChar">
    <w:name w:val="Footer Char"/>
    <w:basedOn w:val="DefaultParagraphFont"/>
    <w:link w:val="Footer"/>
    <w:uiPriority w:val="99"/>
    <w:rsid w:val="001A321B"/>
    <w:rPr>
      <w:rFonts w:ascii="Cambria" w:hAnsi="Cambria"/>
      <w:lang w:val="en-US" w:eastAsia="en-US"/>
    </w:rPr>
  </w:style>
  <w:style w:type="character" w:customStyle="1" w:styleId="Heading3Char">
    <w:name w:val="Heading 3 Char"/>
    <w:basedOn w:val="DefaultParagraphFont"/>
    <w:link w:val="Heading3"/>
    <w:uiPriority w:val="9"/>
    <w:rsid w:val="001A321B"/>
    <w:rPr>
      <w:rFonts w:ascii="Cambria" w:eastAsiaTheme="majorEastAsia" w:hAnsi="Cambria" w:cstheme="majorBidi"/>
      <w:b/>
      <w:szCs w:val="24"/>
      <w:lang w:val="en-US" w:eastAsia="en-US"/>
    </w:rPr>
  </w:style>
  <w:style w:type="character" w:styleId="Hyperlink">
    <w:name w:val="Hyperlink"/>
    <w:basedOn w:val="DefaultParagraphFont"/>
    <w:uiPriority w:val="99"/>
    <w:unhideWhenUsed/>
    <w:rsid w:val="00A2508D"/>
    <w:rPr>
      <w:color w:val="467886" w:themeColor="hyperlink"/>
      <w:u w:val="single"/>
    </w:rPr>
  </w:style>
  <w:style w:type="character" w:styleId="UnresolvedMention">
    <w:name w:val="Unresolved Mention"/>
    <w:basedOn w:val="DefaultParagraphFont"/>
    <w:uiPriority w:val="47"/>
    <w:rsid w:val="00A2508D"/>
    <w:rPr>
      <w:color w:val="605E5C"/>
      <w:shd w:val="clear" w:color="auto" w:fill="E1DFDD"/>
    </w:rPr>
  </w:style>
  <w:style w:type="paragraph" w:customStyle="1" w:styleId="IJNEAMPubInfo">
    <w:name w:val="IJNEAM_PubInfo"/>
    <w:basedOn w:val="IJNEAMAffiliations"/>
    <w:qFormat/>
    <w:rsid w:val="00A2508D"/>
    <w:pPr>
      <w:spacing w:after="240"/>
      <w:jc w:val="center"/>
    </w:pPr>
    <w:rPr>
      <w:i w:val="0"/>
    </w:rPr>
  </w:style>
  <w:style w:type="paragraph" w:styleId="Header">
    <w:name w:val="header"/>
    <w:basedOn w:val="Normal"/>
    <w:link w:val="HeaderChar"/>
    <w:semiHidden/>
    <w:unhideWhenUsed/>
    <w:rsid w:val="002A60D5"/>
    <w:pPr>
      <w:tabs>
        <w:tab w:val="center" w:pos="4680"/>
        <w:tab w:val="right" w:pos="9360"/>
      </w:tabs>
    </w:pPr>
  </w:style>
  <w:style w:type="character" w:customStyle="1" w:styleId="HeaderChar">
    <w:name w:val="Header Char"/>
    <w:basedOn w:val="DefaultParagraphFont"/>
    <w:link w:val="Header"/>
    <w:semiHidden/>
    <w:rsid w:val="002A60D5"/>
    <w:rPr>
      <w:rFonts w:ascii="Cambria" w:hAnsi="Cambria"/>
      <w:lang w:val="en-US" w:eastAsia="en-US"/>
    </w:rPr>
  </w:style>
  <w:style w:type="character" w:styleId="PlaceholderText">
    <w:name w:val="Placeholder Text"/>
    <w:basedOn w:val="DefaultParagraphFont"/>
    <w:uiPriority w:val="99"/>
    <w:unhideWhenUsed/>
    <w:rsid w:val="00395DC8"/>
    <w:rPr>
      <w:color w:val="666666"/>
    </w:rPr>
  </w:style>
  <w:style w:type="character" w:customStyle="1" w:styleId="katex-mathml">
    <w:name w:val="katex-mathml"/>
    <w:basedOn w:val="DefaultParagraphFont"/>
    <w:rsid w:val="00CF2D0A"/>
  </w:style>
  <w:style w:type="character" w:customStyle="1" w:styleId="mord">
    <w:name w:val="mord"/>
    <w:basedOn w:val="DefaultParagraphFont"/>
    <w:rsid w:val="00CF2D0A"/>
  </w:style>
  <w:style w:type="character" w:customStyle="1" w:styleId="vlist-s">
    <w:name w:val="vlist-s"/>
    <w:basedOn w:val="DefaultParagraphFont"/>
    <w:rsid w:val="00CF2D0A"/>
  </w:style>
  <w:style w:type="table" w:styleId="TableGrid">
    <w:name w:val="Table Grid"/>
    <w:basedOn w:val="TableNormal"/>
    <w:uiPriority w:val="59"/>
    <w:rsid w:val="000A20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F04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6910289">
      <w:bodyDiv w:val="1"/>
      <w:marLeft w:val="0"/>
      <w:marRight w:val="0"/>
      <w:marTop w:val="0"/>
      <w:marBottom w:val="0"/>
      <w:divBdr>
        <w:top w:val="none" w:sz="0" w:space="0" w:color="auto"/>
        <w:left w:val="none" w:sz="0" w:space="0" w:color="auto"/>
        <w:bottom w:val="none" w:sz="0" w:space="0" w:color="auto"/>
        <w:right w:val="none" w:sz="0" w:space="0" w:color="auto"/>
      </w:divBdr>
    </w:div>
    <w:div w:id="1766685213">
      <w:bodyDiv w:val="1"/>
      <w:marLeft w:val="0"/>
      <w:marRight w:val="0"/>
      <w:marTop w:val="0"/>
      <w:marBottom w:val="0"/>
      <w:divBdr>
        <w:top w:val="none" w:sz="0" w:space="0" w:color="auto"/>
        <w:left w:val="none" w:sz="0" w:space="0" w:color="auto"/>
        <w:bottom w:val="none" w:sz="0" w:space="0" w:color="auto"/>
        <w:right w:val="none" w:sz="0" w:space="0" w:color="auto"/>
      </w:divBdr>
    </w:div>
    <w:div w:id="19209407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jp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1%20Carbon\Downloads\TEMPLATE_IJNEAM_ver%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13"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14ED3B5-E6C8-4DFE-9F5C-E486D1DBE5BA}">
  <we:reference id="wa200001700" version="2.0.0.0" store="en-US" storeType="OMEX"/>
  <we:alternateReferences>
    <we:reference id="wa200001700" version="2.0.0.0" store="wa20000170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7E8103C7BACF642A07BC0F0A69D2DFA" ma:contentTypeVersion="5" ma:contentTypeDescription="Create a new document." ma:contentTypeScope="" ma:versionID="c68f73bcbd6f4b0ea675e8e89694ed1f">
  <xsd:schema xmlns:xsd="http://www.w3.org/2001/XMLSchema" xmlns:xs="http://www.w3.org/2001/XMLSchema" xmlns:p="http://schemas.microsoft.com/office/2006/metadata/properties" xmlns:ns3="42bf7273-9485-46d8-8275-2135918e4026" targetNamespace="http://schemas.microsoft.com/office/2006/metadata/properties" ma:root="true" ma:fieldsID="01258349f8f8802f4ff77eeb31896ec7" ns3:_="">
    <xsd:import namespace="42bf7273-9485-46d8-8275-2135918e4026"/>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bf7273-9485-46d8-8275-2135918e40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42bf7273-9485-46d8-8275-2135918e4026" xsi:nil="true"/>
  </documentManagement>
</p:properties>
</file>

<file path=customXml/itemProps1.xml><?xml version="1.0" encoding="utf-8"?>
<ds:datastoreItem xmlns:ds="http://schemas.openxmlformats.org/officeDocument/2006/customXml" ds:itemID="{7167EC19-A499-4E42-BFF6-44723C0EAA12}">
  <ds:schemaRefs>
    <ds:schemaRef ds:uri="http://schemas.microsoft.com/sharepoint/v3/contenttype/forms"/>
  </ds:schemaRefs>
</ds:datastoreItem>
</file>

<file path=customXml/itemProps2.xml><?xml version="1.0" encoding="utf-8"?>
<ds:datastoreItem xmlns:ds="http://schemas.openxmlformats.org/officeDocument/2006/customXml" ds:itemID="{ACFDE822-0C95-46B6-9206-FF2A505227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bf7273-9485-46d8-8275-2135918e40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7E2172-AB8A-48B8-A50D-A8645917EBBB}">
  <ds:schemaRefs>
    <ds:schemaRef ds:uri="http://schemas.openxmlformats.org/officeDocument/2006/bibliography"/>
  </ds:schemaRefs>
</ds:datastoreItem>
</file>

<file path=customXml/itemProps4.xml><?xml version="1.0" encoding="utf-8"?>
<ds:datastoreItem xmlns:ds="http://schemas.openxmlformats.org/officeDocument/2006/customXml" ds:itemID="{731F73F8-849E-409B-982F-1F0336BD189A}">
  <ds:schemaRefs>
    <ds:schemaRef ds:uri="http://schemas.microsoft.com/office/2006/metadata/properties"/>
    <ds:schemaRef ds:uri="http://schemas.microsoft.com/office/infopath/2007/PartnerControls"/>
    <ds:schemaRef ds:uri="42bf7273-9485-46d8-8275-2135918e4026"/>
  </ds:schemaRefs>
</ds:datastoreItem>
</file>

<file path=docProps/app.xml><?xml version="1.0" encoding="utf-8"?>
<Properties xmlns="http://schemas.openxmlformats.org/officeDocument/2006/extended-properties" xmlns:vt="http://schemas.openxmlformats.org/officeDocument/2006/docPropsVTypes">
  <Template>TEMPLATE_IJNEAM_ver 1.1</Template>
  <TotalTime>4</TotalTime>
  <Pages>10</Pages>
  <Words>19062</Words>
  <Characters>108659</Characters>
  <Application>Microsoft Office Word</Application>
  <DocSecurity>0</DocSecurity>
  <Lines>905</Lines>
  <Paragraphs>254</Paragraphs>
  <ScaleCrop>false</ScaleCrop>
  <HeadingPairs>
    <vt:vector size="2" baseType="variant">
      <vt:variant>
        <vt:lpstr>Title</vt:lpstr>
      </vt:variant>
      <vt:variant>
        <vt:i4>1</vt:i4>
      </vt:variant>
    </vt:vector>
  </HeadingPairs>
  <TitlesOfParts>
    <vt:vector size="1" baseType="lpstr">
      <vt:lpstr>IJNEAM manuscript preparation</vt:lpstr>
    </vt:vector>
  </TitlesOfParts>
  <Company/>
  <LinksUpToDate>false</LinksUpToDate>
  <CharactersWithSpaces>127467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IJNEAM manuscript preparation</dc:title>
  <dc:subject/>
  <dc:creator>X1 Carbon</dc:creator>
  <cp:keywords/>
  <cp:lastModifiedBy>NUR NADIA BACHOK</cp:lastModifiedBy>
  <cp:revision>3</cp:revision>
  <cp:lastPrinted>2024-03-07T15:47:00Z</cp:lastPrinted>
  <dcterms:created xsi:type="dcterms:W3CDTF">2025-07-29T17:05:00Z</dcterms:created>
  <dcterms:modified xsi:type="dcterms:W3CDTF">2025-07-29T17:09:00Z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022b5bc1-f3a7-44b0-bff9-ce709e41ad16</vt:lpwstr>
  </property>
  <property fmtid="{D5CDD505-2E9C-101B-9397-08002B2CF9AE}" pid="3" name="ContentTypeId">
    <vt:lpwstr>0x01010097E8103C7BACF642A07BC0F0A69D2DFA</vt:lpwstr>
  </property>
  <property fmtid="{D5CDD505-2E9C-101B-9397-08002B2CF9AE}" pid="4" name="Mendeley Document_1">
    <vt:lpwstr>True</vt:lpwstr>
  </property>
  <property fmtid="{D5CDD505-2E9C-101B-9397-08002B2CF9AE}" pid="5" name="Mendeley Unique User Id_1">
    <vt:lpwstr>32b63ca3-4843-34a9-a9ae-7bf3264e460b</vt:lpwstr>
  </property>
  <property fmtid="{D5CDD505-2E9C-101B-9397-08002B2CF9AE}" pid="6" name="Mendeley Citation Style_1">
    <vt:lpwstr>http://www.zotero.org/styles/ieee</vt:lpwstr>
  </property>
  <property fmtid="{D5CDD505-2E9C-101B-9397-08002B2CF9AE}" pid="7" name="Mendeley Recent Style Id 0_1">
    <vt:lpwstr>http://csl.mendeley.com/styles/66537561/GayaUKM-MelayuMazleha</vt:lpwstr>
  </property>
  <property fmtid="{D5CDD505-2E9C-101B-9397-08002B2CF9AE}" pid="8" name="Mendeley Recent Style Name 0_1">
    <vt:lpwstr>GayaUKM-Melayu-MazlehaMaskin</vt:lpwstr>
  </property>
  <property fmtid="{D5CDD505-2E9C-101B-9397-08002B2CF9AE}" pid="9" name="Mendeley Recent Style Id 1_1">
    <vt:lpwstr>http://www.zotero.org/styles/ieee</vt:lpwstr>
  </property>
  <property fmtid="{D5CDD505-2E9C-101B-9397-08002B2CF9AE}" pid="10" name="Mendeley Recent Style Name 1_1">
    <vt:lpwstr>IEEE</vt:lpwstr>
  </property>
  <property fmtid="{D5CDD505-2E9C-101B-9397-08002B2CF9AE}" pid="11" name="Mendeley Recent Style Id 2_1">
    <vt:lpwstr>http://www.zotero.org/styles/gost-r-7-0-5-2008-numeric</vt:lpwstr>
  </property>
  <property fmtid="{D5CDD505-2E9C-101B-9397-08002B2CF9AE}" pid="12" name="Mendeley Recent Style Name 2_1">
    <vt:lpwstr>Russian GOST R 7.0.5-2008 (numeric)</vt:lpwstr>
  </property>
  <property fmtid="{D5CDD505-2E9C-101B-9397-08002B2CF9AE}" pid="13" name="Mendeley Recent Style Id 3_1">
    <vt:lpwstr>http://www.zotero.org/styles/gost-r-7-0-5-2008-numeric-alphabetical</vt:lpwstr>
  </property>
  <property fmtid="{D5CDD505-2E9C-101B-9397-08002B2CF9AE}" pid="14" name="Mendeley Recent Style Name 3_1">
    <vt:lpwstr>Russian GOST R 7.0.5-2008 (numeric, sorted alphabetically, Ру́сский)</vt:lpwstr>
  </property>
  <property fmtid="{D5CDD505-2E9C-101B-9397-08002B2CF9AE}" pid="15" name="Mendeley Recent Style Id 4_1">
    <vt:lpwstr>http://www.zotero.org/styles/gost-r-7-0-5-2008</vt:lpwstr>
  </property>
  <property fmtid="{D5CDD505-2E9C-101B-9397-08002B2CF9AE}" pid="16" name="Mendeley Recent Style Name 4_1">
    <vt:lpwstr>Russian GOST R 7.0.5-2008 (Ру́сский)</vt:lpwstr>
  </property>
  <property fmtid="{D5CDD505-2E9C-101B-9397-08002B2CF9AE}" pid="17" name="Mendeley Recent Style Id 5_1">
    <vt:lpwstr>http://www.zotero.org/styles/russian-geology-and-geophysics</vt:lpwstr>
  </property>
  <property fmtid="{D5CDD505-2E9C-101B-9397-08002B2CF9AE}" pid="18" name="Mendeley Recent Style Name 5_1">
    <vt:lpwstr>Russian Geology and Geophysics</vt:lpwstr>
  </property>
  <property fmtid="{D5CDD505-2E9C-101B-9397-08002B2CF9AE}" pid="19" name="Mendeley Recent Style Id 6_1">
    <vt:lpwstr>http://www.zotero.org/styles/russian-journal-of-communication</vt:lpwstr>
  </property>
  <property fmtid="{D5CDD505-2E9C-101B-9397-08002B2CF9AE}" pid="20" name="Mendeley Recent Style Name 6_1">
    <vt:lpwstr>Russian Journal of Communication</vt:lpwstr>
  </property>
  <property fmtid="{D5CDD505-2E9C-101B-9397-08002B2CF9AE}" pid="21" name="Mendeley Recent Style Id 7_1">
    <vt:lpwstr>http://www.zotero.org/styles/russian-linguistics</vt:lpwstr>
  </property>
  <property fmtid="{D5CDD505-2E9C-101B-9397-08002B2CF9AE}" pid="22" name="Mendeley Recent Style Name 7_1">
    <vt:lpwstr>Russian Linguistics</vt:lpwstr>
  </property>
  <property fmtid="{D5CDD505-2E9C-101B-9397-08002B2CF9AE}" pid="23" name="Mendeley Recent Style Id 8_1">
    <vt:lpwstr>http://www.zotero.org/styles/russian-mathematical-surveys</vt:lpwstr>
  </property>
  <property fmtid="{D5CDD505-2E9C-101B-9397-08002B2CF9AE}" pid="24" name="Mendeley Recent Style Name 8_1">
    <vt:lpwstr>Russian Mathematical Surveys</vt:lpwstr>
  </property>
  <property fmtid="{D5CDD505-2E9C-101B-9397-08002B2CF9AE}" pid="25" name="Mendeley Recent Style Id 9_1">
    <vt:lpwstr>http://www.zotero.org/styles/universiti-kebangsaan-malaysia</vt:lpwstr>
  </property>
  <property fmtid="{D5CDD505-2E9C-101B-9397-08002B2CF9AE}" pid="26" name="Mendeley Recent Style Name 9_1">
    <vt:lpwstr>Universiti Kebangsaan Malaysia (Malay)</vt:lpwstr>
  </property>
</Properties>
</file>